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Default="00AF21D9" w:rsidP="00AF21D9">
      <w:pPr>
        <w:ind w:left="708" w:hanging="708"/>
        <w:jc w:val="right"/>
        <w:rPr>
          <w:rFonts w:ascii="Work Sans" w:hAnsi="Work Sans"/>
          <w:sz w:val="18"/>
          <w:szCs w:val="18"/>
          <w:lang w:val="pt-BR" w:eastAsia="es-ES"/>
        </w:rPr>
      </w:pPr>
      <w:r>
        <w:rPr>
          <w:rFonts w:ascii="Work Sans" w:hAnsi="Work Sans" w:cs="Arial"/>
          <w:sz w:val="18"/>
          <w:szCs w:val="18"/>
          <w:lang w:val="pt-BR"/>
        </w:rPr>
        <w:t>Código Dependencia: depe_var</w:t>
      </w:r>
      <w:r>
        <w:rPr>
          <w:rFonts w:ascii="Work Sans" w:hAnsi="Work Sans" w:cs="Arial"/>
          <w:sz w:val="18"/>
          <w:szCs w:val="18"/>
          <w:lang w:val="pt-BR"/>
        </w:rPr>
        <w:br/>
      </w:r>
      <w:r>
        <w:rPr>
          <w:rFonts w:ascii="Work Sans" w:hAnsi="Work Sans"/>
          <w:sz w:val="18"/>
          <w:szCs w:val="18"/>
          <w:lang w:val="pt-BR" w:eastAsia="es-ES"/>
        </w:rPr>
        <w:t>Acceso: Reservado (ac_res), Público (ac_pub), Clasificado (ac_cla).</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rPr>
      </w:pPr>
      <w:r>
        <w:rPr>
          <w:rFonts w:ascii="Work Sans" w:hAnsi="Work Sans" w:cs="Arial"/>
          <w:b/>
        </w:rPr>
        <w:t>PARA:</w:t>
      </w:r>
      <w:r>
        <w:rPr>
          <w:rFonts w:ascii="Work Sans" w:hAnsi="Work Sans" w:cs="Arial"/>
          <w:b/>
        </w:rPr>
        <w:tab/>
      </w:r>
      <w:proofErr w:type="spellStart"/>
      <w:r>
        <w:rPr>
          <w:rFonts w:ascii="Work Sans" w:hAnsi="Work Sans" w:cs="Arial"/>
        </w:rPr>
        <w:t>nombredestinatario</w:t>
      </w:r>
      <w:proofErr w:type="spellEnd"/>
      <w:r>
        <w:rPr>
          <w:rFonts w:ascii="Work Sans" w:hAnsi="Work Sans" w:cs="Arial"/>
        </w:rPr>
        <w:br/>
      </w:r>
      <w:proofErr w:type="spellStart"/>
      <w:r>
        <w:rPr>
          <w:rFonts w:ascii="Work Sans" w:hAnsi="Work Sans" w:cs="Arial"/>
        </w:rPr>
        <w:t>dptodestinatario</w:t>
      </w:r>
      <w:proofErr w:type="spellEnd"/>
      <w:r>
        <w:rPr>
          <w:rFonts w:ascii="Work Sans" w:hAnsi="Work Sans" w:cs="Arial"/>
        </w:rPr>
        <w:tab/>
      </w:r>
      <w:r>
        <w:rPr>
          <w:rFonts w:ascii="Work Sans" w:hAnsi="Work Sans" w:cs="Arial"/>
        </w:rPr>
        <w:tab/>
      </w:r>
    </w:p>
    <w:p w14:paraId="722F296C" w14:textId="77777777" w:rsidR="00AF21D9" w:rsidRDefault="00AF21D9" w:rsidP="00AF21D9">
      <w:pPr>
        <w:spacing w:line="360" w:lineRule="auto"/>
        <w:ind w:right="51"/>
        <w:contextualSpacing/>
        <w:rPr>
          <w:rFonts w:ascii="Work Sans" w:hAnsi="Work Sans" w:cs="Arial"/>
        </w:rPr>
      </w:pPr>
      <w:r>
        <w:rPr>
          <w:rFonts w:ascii="Work Sans" w:hAnsi="Work Sans" w:cs="Arial"/>
          <w:b/>
          <w:bCs/>
        </w:rPr>
        <w:t>DE:</w:t>
      </w:r>
      <w:r>
        <w:rPr>
          <w:rFonts w:ascii="Work Sans" w:hAnsi="Work Sans" w:cs="Arial"/>
        </w:rPr>
        <w:tab/>
      </w:r>
      <w:r>
        <w:rPr>
          <w:rFonts w:ascii="Work Sans" w:hAnsi="Work Sans" w:cs="Arial"/>
        </w:rPr>
        <w:tab/>
      </w:r>
      <w:proofErr w:type="spellStart"/>
      <w:r>
        <w:rPr>
          <w:rFonts w:ascii="Work Sans" w:hAnsi="Work Sans" w:cs="Arial"/>
        </w:rPr>
        <w:t>dptoremitente</w:t>
      </w:r>
      <w:proofErr w:type="spellEnd"/>
    </w:p>
    <w:p w14:paraId="1654F87E" w14:textId="77777777" w:rsidR="00AF21D9" w:rsidRDefault="00AF21D9" w:rsidP="00AF21D9">
      <w:pPr>
        <w:ind w:right="51"/>
        <w:contextualSpacing/>
        <w:rPr>
          <w:rFonts w:ascii="Work Sans" w:hAnsi="Work Sans" w:cs="Arial"/>
        </w:rPr>
      </w:pPr>
    </w:p>
    <w:p w14:paraId="54CDAEBF" w14:textId="77777777" w:rsidR="00AF21D9" w:rsidRDefault="00AF21D9" w:rsidP="00AF21D9">
      <w:pPr>
        <w:ind w:right="51"/>
        <w:contextualSpacing/>
        <w:rPr>
          <w:rFonts w:ascii="Work Sans" w:hAnsi="Work Sans" w:cs="Arial"/>
        </w:rPr>
      </w:pPr>
      <w:r>
        <w:rPr>
          <w:rFonts w:ascii="Work Sans" w:hAnsi="Work Sans" w:cs="Arial"/>
          <w:b/>
        </w:rPr>
        <w:t>ASUNTO:</w:t>
      </w:r>
      <w:r>
        <w:rPr>
          <w:rFonts w:ascii="Work Sans" w:hAnsi="Work Sans" w:cs="Arial"/>
        </w:rPr>
        <w:tab/>
      </w:r>
      <w:proofErr w:type="spellStart"/>
      <w:r>
        <w:rPr>
          <w:rFonts w:ascii="Work Sans" w:hAnsi="Work Sans" w:cs="Arial"/>
        </w:rPr>
        <w:t>r_asunto</w:t>
      </w:r>
      <w:proofErr w:type="spellEnd"/>
    </w:p>
    <w:p w14:paraId="71B5BF55" w14:textId="77777777" w:rsidR="00AF21D9" w:rsidRDefault="00AF21D9" w:rsidP="00AF21D9">
      <w:pPr>
        <w:ind w:right="51"/>
        <w:contextualSpacing/>
        <w:jc w:val="both"/>
        <w:rPr>
          <w:rFonts w:ascii="Work Sans" w:hAnsi="Work Sans" w:cs="Arial"/>
        </w:rPr>
      </w:pPr>
    </w:p>
    <w:p w14:paraId="1F0C0EE5" w14:textId="77777777" w:rsidR="002757D9" w:rsidRDefault="002757D9" w:rsidP="00AF21D9">
      <w:pPr>
        <w:ind w:right="51"/>
        <w:contextualSpacing/>
        <w:jc w:val="both"/>
        <w:rPr>
          <w:rFonts w:ascii="Work Sans" w:hAnsi="Work Sans" w:cs="Arial"/>
          <w:highlight w:val="yellow"/>
        </w:rPr>
      </w:pPr>
    </w:p>
    <w:p w14:paraId="3BD301D0" w14:textId="77777777" w:rsidR="001A7BA2" w:rsidRDefault="001A7BA2" w:rsidP="00AF21D9">
      <w:pPr>
        <w:ind w:right="51"/>
        <w:contextualSpacing/>
        <w:jc w:val="both"/>
        <w:rPr>
          <w:rFonts w:ascii="Work Sans" w:hAnsi="Work Sans" w:cs="Arial"/>
          <w:highlight w:val="yellow"/>
        </w:rPr>
      </w:pPr>
    </w:p>
    <w:p w14:paraId="17058492" w14:textId="49BB8F09" w:rsidR="003E627A" w:rsidRPr="003E627A" w:rsidRDefault="003E627A" w:rsidP="003E627A">
      <w:pPr>
        <w:jc w:val="both"/>
        <w:rPr>
          <w:rFonts w:ascii="Helvetica Neue" w:hAnsi="Helvetica Neue"/>
          <w:color w:val="0E0E0E"/>
          <w:sz w:val="21"/>
          <w:szCs w:val="21"/>
        </w:rPr>
      </w:pPr>
      <w:r w:rsidRPr="003E627A">
        <w:rPr>
          <w:rFonts w:ascii="Work Sans" w:hAnsi="Work Sans" w:cs="Arial"/>
          <w:sz w:val="20"/>
          <w:szCs w:val="20"/>
        </w:rPr>
        <w:t>En atención al memorando No. 3-2025-047755 del 6 de noviembre de 2025, mediante el cual</w:t>
      </w:r>
      <w:r>
        <w:rPr>
          <w:rFonts w:ascii="Work Sans" w:hAnsi="Work Sans" w:cs="Arial"/>
          <w:sz w:val="20"/>
          <w:szCs w:val="20"/>
        </w:rPr>
        <w:t>,</w:t>
      </w:r>
      <w:r w:rsidRPr="003E627A">
        <w:rPr>
          <w:rFonts w:ascii="Work Sans" w:hAnsi="Work Sans" w:cs="Arial"/>
          <w:sz w:val="20"/>
          <w:szCs w:val="20"/>
        </w:rPr>
        <w:t xml:space="preserve"> la Dirección de Energía Eléctrica solicita concepto jurídico en materia contractual, el Grupo de Gestión Contractual</w:t>
      </w:r>
      <w:r>
        <w:rPr>
          <w:rFonts w:ascii="Work Sans" w:hAnsi="Work Sans" w:cs="Arial"/>
          <w:sz w:val="20"/>
          <w:szCs w:val="20"/>
        </w:rPr>
        <w:t>,</w:t>
      </w:r>
      <w:r w:rsidRPr="003E627A">
        <w:rPr>
          <w:rFonts w:ascii="Work Sans" w:hAnsi="Work Sans" w:cs="Arial"/>
          <w:sz w:val="20"/>
          <w:szCs w:val="20"/>
        </w:rPr>
        <w:t xml:space="preserve"> procede a emitir la respuesta, considerando la siguiente estructura de análisis:</w:t>
      </w:r>
      <w:r w:rsidRPr="003E627A">
        <w:rPr>
          <w:rFonts w:ascii="Helvetica Neue" w:hAnsi="Helvetica Neue"/>
          <w:color w:val="0E0E0E"/>
          <w:sz w:val="21"/>
          <w:szCs w:val="21"/>
        </w:rPr>
        <w:t> </w:t>
      </w:r>
    </w:p>
    <w:p w14:paraId="00AB17A0" w14:textId="77777777" w:rsidR="003E627A" w:rsidRDefault="003E627A" w:rsidP="00AF21D9">
      <w:pPr>
        <w:ind w:right="51"/>
        <w:contextualSpacing/>
        <w:jc w:val="both"/>
        <w:rPr>
          <w:rFonts w:ascii="Work Sans" w:hAnsi="Work Sans" w:cs="Arial"/>
          <w:highlight w:val="yellow"/>
        </w:rPr>
      </w:pPr>
    </w:p>
    <w:p w14:paraId="13494685" w14:textId="39850F91" w:rsidR="00280B77" w:rsidRPr="003E627A" w:rsidRDefault="00280B77" w:rsidP="003E627A">
      <w:pPr>
        <w:pStyle w:val="Prrafodelista"/>
        <w:numPr>
          <w:ilvl w:val="0"/>
          <w:numId w:val="4"/>
        </w:numPr>
        <w:spacing w:before="100" w:beforeAutospacing="1" w:after="100" w:afterAutospacing="1"/>
        <w:outlineLvl w:val="2"/>
        <w:rPr>
          <w:rFonts w:ascii="Work Sans" w:hAnsi="Work Sans" w:cs="Arial"/>
          <w:sz w:val="20"/>
          <w:szCs w:val="20"/>
        </w:rPr>
      </w:pPr>
      <w:r w:rsidRPr="003E627A">
        <w:rPr>
          <w:rFonts w:ascii="Work Sans" w:hAnsi="Work Sans" w:cs="Arial"/>
          <w:sz w:val="20"/>
          <w:szCs w:val="20"/>
        </w:rPr>
        <w:t>Competencia del Grupo de Gestión Contractual</w:t>
      </w:r>
    </w:p>
    <w:p w14:paraId="6E9A16BE" w14:textId="057815A0" w:rsidR="003E627A" w:rsidRDefault="00C7305A" w:rsidP="00280B77">
      <w:pPr>
        <w:spacing w:before="100" w:beforeAutospacing="1" w:after="100" w:afterAutospacing="1"/>
        <w:rPr>
          <w:rFonts w:ascii="Work Sans" w:hAnsi="Work Sans" w:cs="Arial"/>
          <w:sz w:val="20"/>
          <w:szCs w:val="20"/>
        </w:rPr>
      </w:pPr>
      <w:r w:rsidRPr="00C7305A">
        <w:rPr>
          <w:rFonts w:ascii="Work Sans" w:hAnsi="Work Sans" w:cs="Arial"/>
          <w:sz w:val="20"/>
          <w:szCs w:val="20"/>
        </w:rPr>
        <w:t>En ejercicio de las funciones asignadas mediante el numeral 12.7 de la Resolución 631 del 5 de julio de 2023</w:t>
      </w:r>
      <w:r>
        <w:rPr>
          <w:rStyle w:val="Refdenotaalpie"/>
          <w:rFonts w:ascii="Work Sans" w:hAnsi="Work Sans" w:cs="Arial"/>
          <w:sz w:val="20"/>
          <w:szCs w:val="20"/>
        </w:rPr>
        <w:footnoteReference w:id="1"/>
      </w:r>
      <w:r w:rsidRPr="00C7305A">
        <w:rPr>
          <w:rFonts w:ascii="Work Sans" w:hAnsi="Work Sans" w:cs="Arial"/>
          <w:sz w:val="20"/>
          <w:szCs w:val="20"/>
        </w:rPr>
        <w:t>, expedida por la Secretaría General del Ministerio de Minas y Energía, el Grupo de Gestión Contractual cuenta con la competencia para emitir conceptos en materia contractual, orientados a garantizar la correcta aplicación de las normas vigentes y el adecuado desarrollo de los procesos de contratación de la Entidad.</w:t>
      </w:r>
    </w:p>
    <w:p w14:paraId="5AF5206D" w14:textId="04487C7D" w:rsidR="00C7305A" w:rsidRDefault="00C7305A" w:rsidP="00C7305A">
      <w:pPr>
        <w:pStyle w:val="Prrafodelista"/>
        <w:numPr>
          <w:ilvl w:val="0"/>
          <w:numId w:val="4"/>
        </w:numPr>
        <w:spacing w:before="100" w:beforeAutospacing="1" w:after="100" w:afterAutospacing="1"/>
        <w:rPr>
          <w:rFonts w:ascii="Work Sans" w:hAnsi="Work Sans" w:cs="Arial"/>
          <w:sz w:val="20"/>
          <w:szCs w:val="20"/>
        </w:rPr>
      </w:pPr>
      <w:r w:rsidRPr="00C7305A">
        <w:rPr>
          <w:rFonts w:ascii="Work Sans" w:hAnsi="Work Sans" w:cs="Arial"/>
          <w:sz w:val="20"/>
          <w:szCs w:val="20"/>
        </w:rPr>
        <w:t>Antecedentes de la consulta</w:t>
      </w:r>
    </w:p>
    <w:p w14:paraId="495B20C4" w14:textId="2F4AB6BB" w:rsidR="00C7305A" w:rsidRDefault="00C7305A" w:rsidP="00C7305A">
      <w:pPr>
        <w:jc w:val="both"/>
        <w:rPr>
          <w:rFonts w:ascii="Work Sans" w:hAnsi="Work Sans" w:cs="Arial"/>
          <w:sz w:val="20"/>
          <w:szCs w:val="20"/>
        </w:rPr>
      </w:pPr>
      <w:r>
        <w:rPr>
          <w:rFonts w:ascii="Work Sans" w:hAnsi="Work Sans" w:cs="Arial"/>
          <w:sz w:val="20"/>
          <w:szCs w:val="20"/>
        </w:rPr>
        <w:t xml:space="preserve">La </w:t>
      </w:r>
      <w:r w:rsidRPr="00C7305A">
        <w:rPr>
          <w:rFonts w:ascii="Work Sans" w:hAnsi="Work Sans" w:cs="Arial"/>
          <w:sz w:val="20"/>
          <w:szCs w:val="20"/>
        </w:rPr>
        <w:t>Dirección de Energía Eléctrica solicitó a este Grupo de Gestión Contractual emitir concepto jurídico respecto de la aplicación de la Ley 996 de 2005</w:t>
      </w:r>
      <w:r>
        <w:rPr>
          <w:rStyle w:val="Refdenotaalpie"/>
          <w:rFonts w:ascii="Work Sans" w:hAnsi="Work Sans" w:cs="Arial"/>
          <w:sz w:val="20"/>
          <w:szCs w:val="20"/>
        </w:rPr>
        <w:footnoteReference w:id="2"/>
      </w:r>
      <w:r w:rsidRPr="00C7305A">
        <w:rPr>
          <w:rFonts w:ascii="Work Sans" w:hAnsi="Work Sans" w:cs="Arial"/>
          <w:sz w:val="20"/>
          <w:szCs w:val="20"/>
        </w:rPr>
        <w:t xml:space="preserve"> en los contratos que se suscriban en el marco de la Convocatoria Pública PRONE </w:t>
      </w:r>
      <w:r>
        <w:rPr>
          <w:rFonts w:ascii="Work Sans" w:hAnsi="Work Sans" w:cs="Arial"/>
          <w:sz w:val="20"/>
          <w:szCs w:val="20"/>
        </w:rPr>
        <w:t xml:space="preserve">02 de </w:t>
      </w:r>
      <w:r w:rsidRPr="00C7305A">
        <w:rPr>
          <w:rFonts w:ascii="Work Sans" w:hAnsi="Work Sans" w:cs="Arial"/>
          <w:sz w:val="20"/>
          <w:szCs w:val="20"/>
        </w:rPr>
        <w:t xml:space="preserve">2025, adelantada mediante la Resolución </w:t>
      </w:r>
      <w:r w:rsidRPr="00C7305A">
        <w:rPr>
          <w:rFonts w:ascii="Work Sans" w:hAnsi="Work Sans" w:cs="Arial"/>
          <w:sz w:val="20"/>
          <w:szCs w:val="20"/>
        </w:rPr>
        <w:lastRenderedPageBreak/>
        <w:t>40432 del 25 de septiembre de 2025. En particular, la consulta se orienta a precisar cuál es la fecha de entrada en vigencia de la restricción establecida en dicha ley</w:t>
      </w:r>
      <w:r>
        <w:rPr>
          <w:rFonts w:ascii="Work Sans" w:hAnsi="Work Sans" w:cs="Arial"/>
          <w:sz w:val="20"/>
          <w:szCs w:val="20"/>
        </w:rPr>
        <w:t>, frente a los artículos 33 y 38 (parágrafo)</w:t>
      </w:r>
      <w:r w:rsidRPr="00C7305A">
        <w:rPr>
          <w:rFonts w:ascii="Work Sans" w:hAnsi="Work Sans" w:cs="Arial"/>
          <w:sz w:val="20"/>
          <w:szCs w:val="20"/>
        </w:rPr>
        <w:t xml:space="preserve"> cuando en uno de los extremos contractuales se encuentra el Ministerio de Minas y Energía y en el otro: (i) un Operador de Red de carácter privado (caso AIR-E), o (</w:t>
      </w:r>
      <w:proofErr w:type="spellStart"/>
      <w:r w:rsidRPr="00C7305A">
        <w:rPr>
          <w:rFonts w:ascii="Work Sans" w:hAnsi="Work Sans" w:cs="Arial"/>
          <w:sz w:val="20"/>
          <w:szCs w:val="20"/>
        </w:rPr>
        <w:t>ii</w:t>
      </w:r>
      <w:proofErr w:type="spellEnd"/>
      <w:r w:rsidRPr="00C7305A">
        <w:rPr>
          <w:rFonts w:ascii="Work Sans" w:hAnsi="Work Sans" w:cs="Arial"/>
          <w:sz w:val="20"/>
          <w:szCs w:val="20"/>
        </w:rPr>
        <w:t>) un Operador de Red de carácter mixto con participación estatal mayoritaria (caso EMSA), conforme a lo señalado por la Agencia Nacional de Contratación Pública – Colombia Compra Eficiente en la Circular Externa No. 006 del 25 de septiembre de 2025.</w:t>
      </w:r>
    </w:p>
    <w:p w14:paraId="61297D38" w14:textId="77777777" w:rsidR="00C7305A" w:rsidRDefault="00C7305A" w:rsidP="00C7305A">
      <w:pPr>
        <w:jc w:val="both"/>
        <w:rPr>
          <w:rFonts w:ascii="Work Sans" w:hAnsi="Work Sans" w:cs="Arial"/>
          <w:sz w:val="20"/>
          <w:szCs w:val="20"/>
        </w:rPr>
      </w:pPr>
    </w:p>
    <w:p w14:paraId="4998E831" w14:textId="3BF5C411" w:rsidR="00C7305A" w:rsidRDefault="00C7305A" w:rsidP="00C7305A">
      <w:pPr>
        <w:pStyle w:val="Prrafodelista"/>
        <w:numPr>
          <w:ilvl w:val="0"/>
          <w:numId w:val="4"/>
        </w:numPr>
        <w:jc w:val="both"/>
        <w:rPr>
          <w:rFonts w:ascii="Work Sans" w:hAnsi="Work Sans" w:cs="Arial"/>
          <w:sz w:val="20"/>
          <w:szCs w:val="20"/>
        </w:rPr>
      </w:pPr>
      <w:r w:rsidRPr="00C7305A">
        <w:rPr>
          <w:rFonts w:ascii="Work Sans" w:hAnsi="Work Sans" w:cs="Arial"/>
          <w:sz w:val="20"/>
          <w:szCs w:val="20"/>
        </w:rPr>
        <w:t>Marco normativo aplicable</w:t>
      </w:r>
    </w:p>
    <w:p w14:paraId="25AD7864" w14:textId="77777777" w:rsidR="00C7305A" w:rsidRDefault="00C7305A" w:rsidP="00C7305A">
      <w:pPr>
        <w:jc w:val="both"/>
        <w:rPr>
          <w:rFonts w:ascii="Work Sans" w:hAnsi="Work Sans" w:cs="Arial"/>
          <w:sz w:val="20"/>
          <w:szCs w:val="20"/>
        </w:rPr>
      </w:pPr>
    </w:p>
    <w:p w14:paraId="7E7AEEB3" w14:textId="20B42761" w:rsidR="00C7305A" w:rsidRDefault="00C7305A" w:rsidP="00C7305A">
      <w:pPr>
        <w:pStyle w:val="Prrafodelista"/>
        <w:numPr>
          <w:ilvl w:val="0"/>
          <w:numId w:val="5"/>
        </w:numPr>
        <w:jc w:val="both"/>
        <w:rPr>
          <w:rFonts w:ascii="Work Sans" w:hAnsi="Work Sans" w:cs="Arial"/>
          <w:sz w:val="20"/>
          <w:szCs w:val="20"/>
        </w:rPr>
      </w:pPr>
      <w:r>
        <w:rPr>
          <w:rFonts w:ascii="Work Sans" w:hAnsi="Work Sans" w:cs="Arial"/>
          <w:sz w:val="20"/>
          <w:szCs w:val="20"/>
        </w:rPr>
        <w:t>Ley 80 de 1993, artículo 2</w:t>
      </w:r>
    </w:p>
    <w:p w14:paraId="463868E5" w14:textId="66AB1EBA" w:rsidR="00C7305A" w:rsidRDefault="0046529F" w:rsidP="00C7305A">
      <w:pPr>
        <w:pStyle w:val="Prrafodelista"/>
        <w:numPr>
          <w:ilvl w:val="0"/>
          <w:numId w:val="5"/>
        </w:numPr>
        <w:jc w:val="both"/>
        <w:rPr>
          <w:rFonts w:ascii="Work Sans" w:hAnsi="Work Sans" w:cs="Arial"/>
          <w:sz w:val="20"/>
          <w:szCs w:val="20"/>
        </w:rPr>
      </w:pPr>
      <w:r>
        <w:rPr>
          <w:rFonts w:ascii="Work Sans" w:hAnsi="Work Sans" w:cs="Arial"/>
          <w:sz w:val="20"/>
          <w:szCs w:val="20"/>
        </w:rPr>
        <w:t>Ley 996 de 2005, artículo 33 y 38</w:t>
      </w:r>
    </w:p>
    <w:p w14:paraId="5DA3CE57" w14:textId="47FE171E" w:rsidR="0046529F" w:rsidRDefault="0046529F" w:rsidP="0046529F">
      <w:pPr>
        <w:pStyle w:val="Prrafodelista"/>
        <w:numPr>
          <w:ilvl w:val="0"/>
          <w:numId w:val="5"/>
        </w:numPr>
        <w:jc w:val="both"/>
        <w:rPr>
          <w:rFonts w:ascii="Work Sans" w:hAnsi="Work Sans" w:cs="Arial"/>
          <w:sz w:val="20"/>
          <w:szCs w:val="20"/>
        </w:rPr>
      </w:pPr>
      <w:r w:rsidRPr="0046529F">
        <w:rPr>
          <w:rFonts w:ascii="Work Sans" w:hAnsi="Work Sans" w:cs="Arial"/>
          <w:sz w:val="20"/>
          <w:szCs w:val="20"/>
        </w:rPr>
        <w:t>Ley 1117</w:t>
      </w:r>
      <w:r>
        <w:rPr>
          <w:rFonts w:ascii="Work Sans" w:hAnsi="Work Sans" w:cs="Arial"/>
          <w:sz w:val="20"/>
          <w:szCs w:val="20"/>
        </w:rPr>
        <w:t xml:space="preserve"> </w:t>
      </w:r>
      <w:r w:rsidRPr="0046529F">
        <w:rPr>
          <w:rFonts w:ascii="Work Sans" w:hAnsi="Work Sans" w:cs="Arial"/>
          <w:sz w:val="20"/>
          <w:szCs w:val="20"/>
        </w:rPr>
        <w:t>de 2006</w:t>
      </w:r>
      <w:r>
        <w:rPr>
          <w:rFonts w:ascii="Work Sans" w:hAnsi="Work Sans" w:cs="Arial"/>
          <w:sz w:val="20"/>
          <w:szCs w:val="20"/>
        </w:rPr>
        <w:t>, normalización de redes eléctricas</w:t>
      </w:r>
    </w:p>
    <w:p w14:paraId="3F83604D" w14:textId="40882146" w:rsidR="0046529F" w:rsidRDefault="0046529F" w:rsidP="0046529F">
      <w:pPr>
        <w:pStyle w:val="Prrafodelista"/>
        <w:numPr>
          <w:ilvl w:val="0"/>
          <w:numId w:val="5"/>
        </w:numPr>
        <w:rPr>
          <w:rFonts w:ascii="Work Sans" w:hAnsi="Work Sans" w:cs="Arial"/>
          <w:sz w:val="20"/>
          <w:szCs w:val="20"/>
        </w:rPr>
      </w:pPr>
      <w:r w:rsidRPr="0046529F">
        <w:rPr>
          <w:rFonts w:ascii="Work Sans" w:hAnsi="Work Sans" w:cs="Arial"/>
          <w:sz w:val="20"/>
          <w:szCs w:val="20"/>
        </w:rPr>
        <w:t>Ley 2294 de 2023</w:t>
      </w:r>
      <w:r>
        <w:rPr>
          <w:rFonts w:ascii="Work Sans" w:hAnsi="Work Sans" w:cs="Arial"/>
          <w:sz w:val="20"/>
          <w:szCs w:val="20"/>
        </w:rPr>
        <w:t>, artículo 238</w:t>
      </w:r>
    </w:p>
    <w:p w14:paraId="31DD8235" w14:textId="1340429D" w:rsidR="0046529F" w:rsidRDefault="0046529F" w:rsidP="0046529F">
      <w:pPr>
        <w:pStyle w:val="Prrafodelista"/>
        <w:numPr>
          <w:ilvl w:val="0"/>
          <w:numId w:val="5"/>
        </w:numPr>
        <w:rPr>
          <w:rFonts w:ascii="Work Sans" w:hAnsi="Work Sans" w:cs="Arial"/>
          <w:sz w:val="20"/>
          <w:szCs w:val="20"/>
        </w:rPr>
      </w:pPr>
      <w:r w:rsidRPr="0046529F">
        <w:rPr>
          <w:rFonts w:ascii="Work Sans" w:hAnsi="Work Sans" w:cs="Arial"/>
          <w:sz w:val="20"/>
          <w:szCs w:val="20"/>
        </w:rPr>
        <w:t>Decreto número 1073 de 2015</w:t>
      </w:r>
      <w:r>
        <w:rPr>
          <w:rFonts w:ascii="Work Sans" w:hAnsi="Work Sans" w:cs="Arial"/>
          <w:sz w:val="20"/>
          <w:szCs w:val="20"/>
        </w:rPr>
        <w:t>, sección 3</w:t>
      </w:r>
    </w:p>
    <w:p w14:paraId="4197C5C6" w14:textId="34FC143E" w:rsidR="0046529F" w:rsidRPr="0046529F" w:rsidRDefault="0046529F" w:rsidP="0046529F">
      <w:pPr>
        <w:pStyle w:val="Prrafodelista"/>
        <w:numPr>
          <w:ilvl w:val="0"/>
          <w:numId w:val="5"/>
        </w:numPr>
        <w:rPr>
          <w:rFonts w:ascii="Work Sans" w:hAnsi="Work Sans" w:cs="Arial"/>
          <w:sz w:val="20"/>
          <w:szCs w:val="20"/>
        </w:rPr>
      </w:pPr>
      <w:r w:rsidRPr="0046529F">
        <w:rPr>
          <w:rFonts w:ascii="Work Sans" w:hAnsi="Work Sans" w:cs="Arial"/>
          <w:sz w:val="20"/>
          <w:szCs w:val="20"/>
        </w:rPr>
        <w:t>Resolución 40432 de 2025 (Convocatoria PRONE 002)</w:t>
      </w:r>
    </w:p>
    <w:p w14:paraId="6A0BB2AC" w14:textId="1EC955DE" w:rsidR="0046529F" w:rsidRDefault="0046529F" w:rsidP="0046529F">
      <w:pPr>
        <w:pStyle w:val="Prrafodelista"/>
        <w:numPr>
          <w:ilvl w:val="0"/>
          <w:numId w:val="5"/>
        </w:numPr>
        <w:rPr>
          <w:rFonts w:ascii="Work Sans" w:hAnsi="Work Sans" w:cs="Arial"/>
          <w:sz w:val="20"/>
          <w:szCs w:val="20"/>
        </w:rPr>
      </w:pPr>
      <w:r w:rsidRPr="0046529F">
        <w:rPr>
          <w:rFonts w:ascii="Work Sans" w:hAnsi="Work Sans" w:cs="Arial"/>
          <w:sz w:val="20"/>
          <w:szCs w:val="20"/>
        </w:rPr>
        <w:t xml:space="preserve">Circular Externa 006 de 2025 de la </w:t>
      </w:r>
      <w:r w:rsidR="00E26A54">
        <w:rPr>
          <w:rFonts w:ascii="Work Sans" w:hAnsi="Work Sans" w:cs="Arial"/>
          <w:sz w:val="20"/>
          <w:szCs w:val="20"/>
        </w:rPr>
        <w:t xml:space="preserve">Agencia Nacional de Contratación Pública Colombia Compra Eficiente - </w:t>
      </w:r>
      <w:r w:rsidRPr="0046529F">
        <w:rPr>
          <w:rFonts w:ascii="Work Sans" w:hAnsi="Work Sans" w:cs="Arial"/>
          <w:sz w:val="20"/>
          <w:szCs w:val="20"/>
        </w:rPr>
        <w:t>ANCP – CCE</w:t>
      </w:r>
      <w:r w:rsidR="00E26A54">
        <w:rPr>
          <w:rFonts w:ascii="Work Sans" w:hAnsi="Work Sans" w:cs="Arial"/>
          <w:sz w:val="20"/>
          <w:szCs w:val="20"/>
        </w:rPr>
        <w:t>.</w:t>
      </w:r>
    </w:p>
    <w:p w14:paraId="34A539F3" w14:textId="77777777" w:rsidR="0046529F" w:rsidRDefault="0046529F" w:rsidP="0046529F">
      <w:pPr>
        <w:pStyle w:val="Prrafodelista"/>
        <w:rPr>
          <w:rFonts w:ascii="Work Sans" w:hAnsi="Work Sans" w:cs="Arial"/>
          <w:sz w:val="20"/>
          <w:szCs w:val="20"/>
        </w:rPr>
      </w:pPr>
    </w:p>
    <w:p w14:paraId="23229DDC" w14:textId="6279F023" w:rsidR="0046529F" w:rsidRDefault="0046529F" w:rsidP="0046529F">
      <w:pPr>
        <w:pStyle w:val="Prrafodelista"/>
        <w:numPr>
          <w:ilvl w:val="0"/>
          <w:numId w:val="4"/>
        </w:numPr>
        <w:rPr>
          <w:rFonts w:ascii="Work Sans" w:hAnsi="Work Sans" w:cs="Arial"/>
          <w:sz w:val="20"/>
          <w:szCs w:val="20"/>
        </w:rPr>
      </w:pPr>
      <w:r>
        <w:rPr>
          <w:rFonts w:ascii="Work Sans" w:hAnsi="Work Sans" w:cs="Arial"/>
          <w:sz w:val="20"/>
          <w:szCs w:val="20"/>
        </w:rPr>
        <w:t>Análisis jurídico</w:t>
      </w:r>
    </w:p>
    <w:p w14:paraId="0D8D6393" w14:textId="77777777" w:rsidR="0046529F" w:rsidRDefault="0046529F" w:rsidP="0046529F">
      <w:pPr>
        <w:pStyle w:val="Prrafodelista"/>
        <w:rPr>
          <w:rFonts w:ascii="Work Sans" w:hAnsi="Work Sans" w:cs="Arial"/>
          <w:sz w:val="20"/>
          <w:szCs w:val="20"/>
        </w:rPr>
      </w:pPr>
    </w:p>
    <w:p w14:paraId="0011E6F8" w14:textId="39A55860" w:rsidR="0046529F" w:rsidRDefault="0046529F" w:rsidP="0046529F">
      <w:pPr>
        <w:pStyle w:val="Prrafodelista"/>
        <w:numPr>
          <w:ilvl w:val="1"/>
          <w:numId w:val="4"/>
        </w:numPr>
        <w:rPr>
          <w:rFonts w:ascii="Work Sans" w:hAnsi="Work Sans" w:cs="Arial"/>
          <w:sz w:val="20"/>
          <w:szCs w:val="20"/>
        </w:rPr>
      </w:pPr>
      <w:r>
        <w:rPr>
          <w:rFonts w:ascii="Work Sans" w:hAnsi="Work Sans" w:cs="Arial"/>
          <w:sz w:val="20"/>
          <w:szCs w:val="20"/>
        </w:rPr>
        <w:t>Marco general de la Ley de Garantías Electorales</w:t>
      </w:r>
    </w:p>
    <w:p w14:paraId="478ABE1B" w14:textId="68333F87" w:rsidR="00B2061C" w:rsidRDefault="00B2061C" w:rsidP="0046529F">
      <w:pPr>
        <w:rPr>
          <w:rFonts w:ascii="Work Sans" w:hAnsi="Work Sans" w:cs="Arial"/>
          <w:sz w:val="20"/>
          <w:szCs w:val="20"/>
        </w:rPr>
      </w:pPr>
      <w:r>
        <w:rPr>
          <w:rFonts w:ascii="Work Sans" w:hAnsi="Work Sans" w:cs="Arial"/>
          <w:sz w:val="20"/>
          <w:szCs w:val="20"/>
        </w:rPr>
        <w:t>Cuando hablamos de l</w:t>
      </w:r>
      <w:r w:rsidR="0046529F">
        <w:rPr>
          <w:rFonts w:ascii="Work Sans" w:hAnsi="Work Sans" w:cs="Arial"/>
          <w:sz w:val="20"/>
          <w:szCs w:val="20"/>
        </w:rPr>
        <w:t>as restricciones para contratar en materia de contratación pública</w:t>
      </w:r>
      <w:r>
        <w:rPr>
          <w:rFonts w:ascii="Work Sans" w:hAnsi="Work Sans" w:cs="Arial"/>
          <w:sz w:val="20"/>
          <w:szCs w:val="20"/>
        </w:rPr>
        <w:t xml:space="preserve"> en periodos electorales, debemos hacer referencia al cuerpo normativo que las incorpora, en estricto sentido, a la Ley 996 de 2005. La finalidad de la ley, se circunscribe a dar las máximas garantías a los partidos y candidatos en el curso de la campaña electoral</w:t>
      </w:r>
      <w:r w:rsidR="00551186">
        <w:rPr>
          <w:rFonts w:ascii="Work Sans" w:hAnsi="Work Sans" w:cs="Arial"/>
          <w:sz w:val="20"/>
          <w:szCs w:val="20"/>
        </w:rPr>
        <w:t>, asumiendo el legislador que la contratación directa puede dar lugar al rompimiento del equilibro entre estos actores en el marco de elecciones presidenciales, legislativas, y de autoridades locales</w:t>
      </w:r>
      <w:r w:rsidR="00551186">
        <w:rPr>
          <w:rStyle w:val="Refdenotaalpie"/>
          <w:rFonts w:ascii="Work Sans" w:hAnsi="Work Sans" w:cs="Arial"/>
          <w:sz w:val="20"/>
          <w:szCs w:val="20"/>
        </w:rPr>
        <w:footnoteReference w:id="3"/>
      </w:r>
      <w:r w:rsidR="00551186">
        <w:rPr>
          <w:rFonts w:ascii="Work Sans" w:hAnsi="Work Sans" w:cs="Arial"/>
          <w:sz w:val="20"/>
          <w:szCs w:val="20"/>
        </w:rPr>
        <w:t>.</w:t>
      </w:r>
    </w:p>
    <w:p w14:paraId="59DC0185" w14:textId="77777777" w:rsidR="00551186" w:rsidRDefault="00551186" w:rsidP="0046529F">
      <w:pPr>
        <w:rPr>
          <w:rFonts w:ascii="Work Sans" w:hAnsi="Work Sans" w:cs="Arial"/>
          <w:sz w:val="20"/>
          <w:szCs w:val="20"/>
        </w:rPr>
      </w:pPr>
    </w:p>
    <w:p w14:paraId="485B1CA1" w14:textId="0B71D582" w:rsidR="00670F4A" w:rsidRDefault="00150F71" w:rsidP="00670F4A">
      <w:pPr>
        <w:jc w:val="both"/>
        <w:rPr>
          <w:rFonts w:ascii="Work Sans" w:hAnsi="Work Sans" w:cs="Arial"/>
          <w:sz w:val="20"/>
          <w:szCs w:val="20"/>
        </w:rPr>
      </w:pPr>
      <w:r>
        <w:rPr>
          <w:rFonts w:ascii="Work Sans" w:hAnsi="Work Sans" w:cs="Arial"/>
          <w:sz w:val="20"/>
          <w:szCs w:val="20"/>
        </w:rPr>
        <w:t>Son dos artículos de la ley en comento, en que se soporta las garantías electorales aludidas. Por un lado encontramos el artículo 33,</w:t>
      </w:r>
      <w:r w:rsidR="00670F4A">
        <w:rPr>
          <w:rFonts w:ascii="Work Sans" w:hAnsi="Work Sans" w:cs="Arial"/>
          <w:sz w:val="20"/>
          <w:szCs w:val="20"/>
        </w:rPr>
        <w:t xml:space="preserve"> que</w:t>
      </w:r>
      <w:r>
        <w:rPr>
          <w:rFonts w:ascii="Work Sans" w:hAnsi="Work Sans" w:cs="Arial"/>
          <w:sz w:val="20"/>
          <w:szCs w:val="20"/>
        </w:rPr>
        <w:t xml:space="preserve"> persigue </w:t>
      </w:r>
      <w:r w:rsidR="00670F4A">
        <w:rPr>
          <w:rFonts w:ascii="Work Sans" w:hAnsi="Work Sans" w:cs="Arial"/>
          <w:sz w:val="20"/>
          <w:szCs w:val="20"/>
        </w:rPr>
        <w:t xml:space="preserve">un régimen de restricción preelectoral para elecciones presidenciales y el parágrafo del artículo 38 que trae consideraciones electorales especiales para comprometer recursos por parte de entidades del orden territorial (Alcaldías, Gobernaciones, Distritos), así como, entidades descentralizadas de este mismo orden. </w:t>
      </w:r>
    </w:p>
    <w:p w14:paraId="314D3B89" w14:textId="77777777" w:rsidR="00670F4A" w:rsidRDefault="00670F4A" w:rsidP="00670F4A">
      <w:pPr>
        <w:jc w:val="both"/>
        <w:rPr>
          <w:rFonts w:ascii="Work Sans" w:hAnsi="Work Sans" w:cs="Arial"/>
          <w:sz w:val="20"/>
          <w:szCs w:val="20"/>
        </w:rPr>
      </w:pPr>
    </w:p>
    <w:p w14:paraId="25E05042" w14:textId="3B94C504" w:rsidR="00670F4A" w:rsidRDefault="00670F4A" w:rsidP="00670F4A">
      <w:pPr>
        <w:jc w:val="both"/>
        <w:rPr>
          <w:rFonts w:ascii="Work Sans" w:hAnsi="Work Sans" w:cs="Arial"/>
          <w:sz w:val="20"/>
          <w:szCs w:val="20"/>
        </w:rPr>
      </w:pPr>
      <w:r>
        <w:rPr>
          <w:rFonts w:ascii="Work Sans" w:hAnsi="Work Sans" w:cs="Arial"/>
          <w:sz w:val="20"/>
          <w:szCs w:val="20"/>
        </w:rPr>
        <w:t>El artículo 33 al que nos referimos establece</w:t>
      </w:r>
      <w:r w:rsidR="003D7479">
        <w:rPr>
          <w:rFonts w:ascii="Work Sans" w:hAnsi="Work Sans" w:cs="Arial"/>
          <w:sz w:val="20"/>
          <w:szCs w:val="20"/>
        </w:rPr>
        <w:t xml:space="preserve"> exactamente</w:t>
      </w:r>
      <w:r>
        <w:rPr>
          <w:rFonts w:ascii="Work Sans" w:hAnsi="Work Sans" w:cs="Arial"/>
          <w:sz w:val="20"/>
          <w:szCs w:val="20"/>
        </w:rPr>
        <w:t xml:space="preserve"> que:</w:t>
      </w:r>
    </w:p>
    <w:p w14:paraId="136E15F8" w14:textId="77777777" w:rsidR="00670F4A" w:rsidRDefault="00670F4A" w:rsidP="00670F4A">
      <w:pPr>
        <w:jc w:val="both"/>
        <w:rPr>
          <w:rFonts w:ascii="Work Sans" w:hAnsi="Work Sans" w:cs="Arial"/>
          <w:sz w:val="20"/>
          <w:szCs w:val="20"/>
        </w:rPr>
      </w:pPr>
    </w:p>
    <w:p w14:paraId="194FEB92" w14:textId="51B4272A" w:rsidR="003D7479" w:rsidRPr="003D7479" w:rsidRDefault="003D7479" w:rsidP="003D7479">
      <w:pPr>
        <w:pStyle w:val="NormalWeb"/>
        <w:ind w:left="708"/>
        <w:jc w:val="both"/>
        <w:rPr>
          <w:rFonts w:ascii="Work Sans" w:hAnsi="Work Sans" w:cs="Arial"/>
          <w:sz w:val="18"/>
          <w:szCs w:val="18"/>
        </w:rPr>
      </w:pPr>
      <w:bookmarkStart w:id="0" w:name="33"/>
      <w:r w:rsidRPr="003D7479">
        <w:rPr>
          <w:rFonts w:ascii="Work Sans" w:hAnsi="Work Sans" w:cs="Arial"/>
          <w:b/>
          <w:bCs/>
          <w:sz w:val="18"/>
          <w:szCs w:val="18"/>
        </w:rPr>
        <w:t>ARTÍCULO 33. RESTRICCIONES A LA CONTRATACIÓN PÚBLICA</w:t>
      </w:r>
      <w:bookmarkEnd w:id="0"/>
      <w:r w:rsidRPr="003D7479">
        <w:rPr>
          <w:rFonts w:ascii="Work Sans" w:hAnsi="Work Sans" w:cs="Arial"/>
          <w:sz w:val="18"/>
          <w:szCs w:val="18"/>
        </w:rPr>
        <w:t>. Durante los cuatro (4) meses anteriores a la elección presidencial y hasta la realización de la elección en la segunda vuelta, si fuere el caso, queda prohibida la contratación directa por parte de todos los entes del Estado.</w:t>
      </w:r>
    </w:p>
    <w:p w14:paraId="2A0D0127" w14:textId="77777777" w:rsidR="003D7479" w:rsidRPr="003D7479" w:rsidRDefault="003D7479" w:rsidP="003D7479">
      <w:pPr>
        <w:pStyle w:val="NormalWeb"/>
        <w:ind w:left="708"/>
        <w:jc w:val="both"/>
        <w:rPr>
          <w:rFonts w:ascii="Work Sans" w:hAnsi="Work Sans" w:cs="Arial"/>
          <w:sz w:val="18"/>
          <w:szCs w:val="18"/>
        </w:rPr>
      </w:pPr>
      <w:r w:rsidRPr="003D7479">
        <w:rPr>
          <w:rFonts w:ascii="Work Sans" w:hAnsi="Work Sans" w:cs="Arial"/>
          <w:sz w:val="18"/>
          <w:szCs w:val="18"/>
        </w:rPr>
        <w:lastRenderedPageBreak/>
        <w:t>Queda exceptuado lo referente a la defensa y seguridad del Estado, los contratos de crédito público, los requeridos para cubrir las emergencias educativas, sanitarias y desastres, así como también los utilizados para la reconstrucción de vías, puentes, carreteras, infraestructura energética y de comunicaciones, en caso de que hayan sido objeto de atentados, acciones terroristas, desastres naturales o casos de fuerza mayor, y los que deban realizar las entidades sanitarias y hospitalarias.</w:t>
      </w:r>
    </w:p>
    <w:p w14:paraId="16AF852F" w14:textId="77777777" w:rsidR="00670F4A" w:rsidRDefault="00670F4A" w:rsidP="00670F4A">
      <w:pPr>
        <w:jc w:val="both"/>
        <w:rPr>
          <w:rFonts w:ascii="Work Sans" w:hAnsi="Work Sans" w:cs="Arial"/>
          <w:sz w:val="20"/>
          <w:szCs w:val="20"/>
        </w:rPr>
      </w:pPr>
    </w:p>
    <w:p w14:paraId="3CD77036" w14:textId="77777777" w:rsidR="00E26A54" w:rsidRDefault="003D7479" w:rsidP="003D7479">
      <w:pPr>
        <w:jc w:val="both"/>
        <w:rPr>
          <w:rFonts w:ascii="Work Sans" w:hAnsi="Work Sans" w:cs="Arial"/>
          <w:sz w:val="20"/>
          <w:szCs w:val="20"/>
        </w:rPr>
      </w:pPr>
      <w:r>
        <w:rPr>
          <w:rFonts w:ascii="Work Sans" w:hAnsi="Work Sans" w:cs="Arial"/>
          <w:sz w:val="20"/>
          <w:szCs w:val="20"/>
        </w:rPr>
        <w:t>A partir del artículo citado, resulta pertinente resaltar dos cosas. La primera tiene que ver con los sujetos destinados a la prohibición que son todas las entidades, organismos o aquellos a las que la ley les da la facultad para suscribir contratos estatales y, en consecuencia, comprende a la totalidad de entes del estado</w:t>
      </w:r>
      <w:r w:rsidR="00E26A54">
        <w:rPr>
          <w:rFonts w:ascii="Work Sans" w:hAnsi="Work Sans" w:cs="Arial"/>
          <w:sz w:val="20"/>
          <w:szCs w:val="20"/>
        </w:rPr>
        <w:t xml:space="preserve">. La no distinción que hace la norma resulta valiosa, puesto que la prohibición aplica sin distinción </w:t>
      </w:r>
      <w:r>
        <w:rPr>
          <w:rFonts w:ascii="Work Sans" w:hAnsi="Work Sans" w:cs="Arial"/>
          <w:sz w:val="20"/>
          <w:szCs w:val="20"/>
        </w:rPr>
        <w:t xml:space="preserve">de su régimen jurídico, forma de organización o naturaliza, su pertenencia a una rama del poder público o su autonomía. </w:t>
      </w:r>
    </w:p>
    <w:p w14:paraId="6D5479D5" w14:textId="77777777" w:rsidR="00E26A54" w:rsidRDefault="00E26A54" w:rsidP="003D7479">
      <w:pPr>
        <w:jc w:val="both"/>
        <w:rPr>
          <w:rFonts w:ascii="Work Sans" w:hAnsi="Work Sans" w:cs="Arial"/>
          <w:sz w:val="20"/>
          <w:szCs w:val="20"/>
        </w:rPr>
      </w:pPr>
    </w:p>
    <w:p w14:paraId="04CBB1D8" w14:textId="17924567" w:rsidR="00E26A54" w:rsidRDefault="003D7479" w:rsidP="00E26A54">
      <w:pPr>
        <w:jc w:val="both"/>
        <w:rPr>
          <w:rFonts w:ascii="Work Sans" w:hAnsi="Work Sans" w:cs="Arial"/>
          <w:sz w:val="20"/>
          <w:szCs w:val="20"/>
        </w:rPr>
      </w:pPr>
      <w:r>
        <w:rPr>
          <w:rFonts w:ascii="Work Sans" w:hAnsi="Work Sans" w:cs="Arial"/>
          <w:sz w:val="20"/>
          <w:szCs w:val="20"/>
        </w:rPr>
        <w:t xml:space="preserve">La Circular No. 06 de </w:t>
      </w:r>
      <w:r w:rsidR="00E26A54">
        <w:rPr>
          <w:rFonts w:ascii="Work Sans" w:hAnsi="Work Sans" w:cs="Arial"/>
          <w:sz w:val="20"/>
          <w:szCs w:val="20"/>
        </w:rPr>
        <w:t>2025 de la ANCP-CCE, clarifica el asunto, aduciendo que la prohibición no aplica únicamente a las entidades estatales señaladas en el artículo 2 de la Ley 80 de 1993</w:t>
      </w:r>
      <w:r w:rsidR="00E26A54">
        <w:rPr>
          <w:rStyle w:val="Refdenotaalpie"/>
          <w:rFonts w:ascii="Work Sans" w:hAnsi="Work Sans" w:cs="Arial"/>
          <w:sz w:val="20"/>
          <w:szCs w:val="20"/>
        </w:rPr>
        <w:footnoteReference w:id="4"/>
      </w:r>
      <w:r w:rsidR="00E26A54">
        <w:rPr>
          <w:rFonts w:ascii="Work Sans" w:hAnsi="Work Sans" w:cs="Arial"/>
          <w:sz w:val="20"/>
          <w:szCs w:val="20"/>
        </w:rPr>
        <w:t xml:space="preserve">, sino, además, a modo de ejemplo, a «(…) </w:t>
      </w:r>
      <w:r w:rsidR="00E26A54" w:rsidRPr="00E26A54">
        <w:rPr>
          <w:rFonts w:ascii="Work Sans" w:hAnsi="Work Sans" w:cs="Arial"/>
          <w:sz w:val="20"/>
          <w:szCs w:val="20"/>
        </w:rPr>
        <w:t>las entidades descentralizadas indirectas, es decir, las que surgen por la voluntad</w:t>
      </w:r>
      <w:r w:rsidR="00E26A54">
        <w:rPr>
          <w:rFonts w:ascii="Work Sans" w:hAnsi="Work Sans" w:cs="Arial"/>
          <w:sz w:val="20"/>
          <w:szCs w:val="20"/>
        </w:rPr>
        <w:t xml:space="preserve"> </w:t>
      </w:r>
      <w:r w:rsidR="00E26A54" w:rsidRPr="00E26A54">
        <w:rPr>
          <w:rFonts w:ascii="Work Sans" w:hAnsi="Work Sans" w:cs="Arial"/>
          <w:sz w:val="20"/>
          <w:szCs w:val="20"/>
        </w:rPr>
        <w:t>asociativa de los entes públicos entre sí o con la intervención de particulares, como las derivadas de los artículos 95 y 96 de la Ley 489 de 1998; las empresas industriales y comerciales del Estado y las Sociedades de Economía Mixta, salvo cuando la celebración de un convenio interadministrativo sea ordenada, para ambas partes, por el Legislador; las Empresas de Servicios Públicos oficiales y mixtas; las Empresas Sociales del Estado; los entes universitarios autónomos, entre otros.</w:t>
      </w:r>
      <w:r w:rsidR="00E26A54">
        <w:rPr>
          <w:rFonts w:ascii="Work Sans" w:hAnsi="Work Sans" w:cs="Arial"/>
          <w:sz w:val="20"/>
          <w:szCs w:val="20"/>
        </w:rPr>
        <w:t xml:space="preserve"> </w:t>
      </w:r>
      <w:r w:rsidR="00E26A54" w:rsidRPr="00E26A54">
        <w:rPr>
          <w:rFonts w:ascii="Work Sans" w:hAnsi="Work Sans" w:cs="Arial"/>
          <w:sz w:val="20"/>
          <w:szCs w:val="20"/>
        </w:rPr>
        <w:t>En términos generales, la restricción cobija a cualquier ente público que pueda, a través de la contratación directa, romper el equilibrio entre los partidos y los candidatos en las elecciones presidenciales.</w:t>
      </w:r>
      <w:r w:rsidR="00E26A54">
        <w:rPr>
          <w:rFonts w:ascii="Work Sans" w:hAnsi="Work Sans" w:cs="Arial"/>
          <w:sz w:val="20"/>
          <w:szCs w:val="20"/>
        </w:rPr>
        <w:t xml:space="preserve"> (…)»</w:t>
      </w:r>
    </w:p>
    <w:p w14:paraId="5EB4EC4A" w14:textId="77777777" w:rsidR="00B2061C" w:rsidRDefault="00B2061C" w:rsidP="0046529F">
      <w:pPr>
        <w:rPr>
          <w:rFonts w:ascii="Work Sans" w:hAnsi="Work Sans" w:cs="Arial"/>
          <w:sz w:val="20"/>
          <w:szCs w:val="20"/>
        </w:rPr>
      </w:pPr>
    </w:p>
    <w:p w14:paraId="0F158238" w14:textId="2AF0B9BB" w:rsidR="006E01E8" w:rsidRDefault="006E01E8" w:rsidP="00E020D7">
      <w:pPr>
        <w:jc w:val="both"/>
        <w:rPr>
          <w:rFonts w:ascii="Work Sans" w:hAnsi="Work Sans" w:cs="Arial"/>
          <w:sz w:val="20"/>
          <w:szCs w:val="20"/>
        </w:rPr>
      </w:pPr>
      <w:r>
        <w:rPr>
          <w:rFonts w:ascii="Work Sans" w:hAnsi="Work Sans" w:cs="Arial"/>
          <w:sz w:val="20"/>
          <w:szCs w:val="20"/>
        </w:rPr>
        <w:lastRenderedPageBreak/>
        <w:t xml:space="preserve">La segunda corresponde </w:t>
      </w:r>
      <w:r w:rsidR="00E020D7">
        <w:rPr>
          <w:rFonts w:ascii="Work Sans" w:hAnsi="Work Sans" w:cs="Arial"/>
          <w:sz w:val="20"/>
          <w:szCs w:val="20"/>
        </w:rPr>
        <w:t>al medio o instrumento que la norma restringe para evitar un posible uso electoral de la contratación pública, que es la contratación directa, como forma de actuación contractual que da lugar a la restricción. En principio</w:t>
      </w:r>
      <w:r w:rsidR="00D46A68">
        <w:rPr>
          <w:rFonts w:ascii="Work Sans" w:hAnsi="Work Sans" w:cs="Arial"/>
          <w:sz w:val="20"/>
          <w:szCs w:val="20"/>
        </w:rPr>
        <w:t>,</w:t>
      </w:r>
      <w:r w:rsidR="00E020D7">
        <w:rPr>
          <w:rFonts w:ascii="Work Sans" w:hAnsi="Work Sans" w:cs="Arial"/>
          <w:sz w:val="20"/>
          <w:szCs w:val="20"/>
        </w:rPr>
        <w:t xml:space="preserve"> podría simplemente remitirse a lo regulado en el numeral 4 del artículo 2 de la Ley 1150, para ceñirse a lo que allí se estipula frente a la contratación directa, sin embargo, el Consejo de Estado, delimita su entendimiento más allá</w:t>
      </w:r>
      <w:r w:rsidR="00D46A68">
        <w:rPr>
          <w:rFonts w:ascii="Work Sans" w:hAnsi="Work Sans" w:cs="Arial"/>
          <w:sz w:val="20"/>
          <w:szCs w:val="20"/>
        </w:rPr>
        <w:t>,</w:t>
      </w:r>
      <w:r w:rsidR="00E020D7">
        <w:rPr>
          <w:rFonts w:ascii="Work Sans" w:hAnsi="Work Sans" w:cs="Arial"/>
          <w:sz w:val="20"/>
          <w:szCs w:val="20"/>
        </w:rPr>
        <w:t xml:space="preserve"> para efectos de aterrizarlo a la aplicación de las garantías electorales, así:</w:t>
      </w:r>
    </w:p>
    <w:p w14:paraId="42722A09" w14:textId="77777777" w:rsidR="00E020D7" w:rsidRDefault="00E020D7" w:rsidP="0046529F">
      <w:pPr>
        <w:rPr>
          <w:rFonts w:ascii="Work Sans" w:hAnsi="Work Sans" w:cs="Arial"/>
          <w:sz w:val="20"/>
          <w:szCs w:val="20"/>
        </w:rPr>
      </w:pPr>
    </w:p>
    <w:p w14:paraId="56481B25" w14:textId="0A7F9611" w:rsidR="00E020D7" w:rsidRPr="00E020D7" w:rsidRDefault="00E020D7" w:rsidP="00E020D7">
      <w:pPr>
        <w:ind w:left="708"/>
        <w:jc w:val="both"/>
        <w:rPr>
          <w:rFonts w:ascii="Work Sans" w:hAnsi="Work Sans" w:cs="Arial"/>
          <w:sz w:val="18"/>
          <w:szCs w:val="18"/>
        </w:rPr>
      </w:pPr>
      <w:r w:rsidRPr="00E020D7">
        <w:rPr>
          <w:rFonts w:ascii="Work Sans" w:hAnsi="Work Sans" w:cs="Arial"/>
          <w:sz w:val="18"/>
          <w:szCs w:val="18"/>
        </w:rPr>
        <w:t>Esta Sala ha entendido que para los efectos de la ley de garantías, y dada su finalidad, el enunciado “contratación directa” es sinónimo de cualquier sistema que no implique convocatoria pública y posibilidad de pluralidad de oferentes, y que, además, no necesariamente hace referencia al procedimiento especial regulado por la ley de contratación estatal, sino a cual (sic) otro que prescinda de un proceso de licitación pública o concurso. Por tanto, no son materia de la prohibición las demás modalidades de selección previstas en la ley 1150 de 2007, siendo estas, la licitación pública, el concurso de méritos y la selección abreviada, razón por la cual en ese periodo preelectoral de que trata de (sic) la disposición pueden las entidades públicas seguir contratando bajo estos sistemas.</w:t>
      </w:r>
      <w:r>
        <w:rPr>
          <w:rStyle w:val="Refdenotaalpie"/>
          <w:rFonts w:ascii="Work Sans" w:hAnsi="Work Sans" w:cs="Arial"/>
          <w:sz w:val="18"/>
          <w:szCs w:val="18"/>
        </w:rPr>
        <w:footnoteReference w:id="5"/>
      </w:r>
    </w:p>
    <w:p w14:paraId="2F92BA4D" w14:textId="77777777" w:rsidR="003D7479" w:rsidRDefault="003D7479" w:rsidP="0046529F">
      <w:pPr>
        <w:rPr>
          <w:rFonts w:ascii="Work Sans" w:hAnsi="Work Sans" w:cs="Arial"/>
          <w:sz w:val="20"/>
          <w:szCs w:val="20"/>
        </w:rPr>
      </w:pPr>
    </w:p>
    <w:p w14:paraId="2CB6A67C" w14:textId="70938053" w:rsidR="00A3168D" w:rsidRDefault="005E6B92" w:rsidP="00A3168D">
      <w:pPr>
        <w:jc w:val="both"/>
        <w:rPr>
          <w:rFonts w:ascii="Work Sans" w:hAnsi="Work Sans" w:cs="Arial"/>
          <w:sz w:val="20"/>
          <w:szCs w:val="20"/>
        </w:rPr>
      </w:pPr>
      <w:r>
        <w:rPr>
          <w:rFonts w:ascii="Work Sans" w:hAnsi="Work Sans" w:cs="Arial"/>
          <w:sz w:val="20"/>
          <w:szCs w:val="20"/>
        </w:rPr>
        <w:t>No se trata entonces únicamente de las causales de contratación directa señaladas en el mencionado artículo 2, sino de toda aquella contratación que no esté precedida</w:t>
      </w:r>
      <w:r w:rsidR="00A3168D">
        <w:rPr>
          <w:rFonts w:ascii="Work Sans" w:hAnsi="Work Sans" w:cs="Arial"/>
          <w:sz w:val="20"/>
          <w:szCs w:val="20"/>
        </w:rPr>
        <w:t xml:space="preserve"> de una convocatoria pública, ni permita la posibilidad de participación de una pluralidad de oferentes, lo cual, cobra sentido, si se tiene en cuenta que existen régimen jurídicos de contratación para entidades estatales diferentes a los señalados en la Ley 80 de 1993, la ley 1150 de 2007 y demás normas complementarias.</w:t>
      </w:r>
      <w:r w:rsidR="00DC6D4D">
        <w:rPr>
          <w:rStyle w:val="Refdenotaalpie"/>
          <w:rFonts w:ascii="Work Sans" w:hAnsi="Work Sans" w:cs="Arial"/>
          <w:sz w:val="20"/>
          <w:szCs w:val="20"/>
        </w:rPr>
        <w:footnoteReference w:id="6"/>
      </w:r>
    </w:p>
    <w:p w14:paraId="6CDBAE08" w14:textId="77777777" w:rsidR="00A3168D" w:rsidRDefault="00A3168D" w:rsidP="0046529F">
      <w:pPr>
        <w:rPr>
          <w:rFonts w:ascii="Work Sans" w:hAnsi="Work Sans" w:cs="Arial"/>
          <w:sz w:val="20"/>
          <w:szCs w:val="20"/>
        </w:rPr>
      </w:pPr>
    </w:p>
    <w:p w14:paraId="0F58CAD3" w14:textId="77777777" w:rsidR="005E6B92" w:rsidRDefault="005E6B92" w:rsidP="0046529F">
      <w:pPr>
        <w:rPr>
          <w:rFonts w:ascii="Work Sans" w:hAnsi="Work Sans" w:cs="Arial"/>
          <w:sz w:val="20"/>
          <w:szCs w:val="20"/>
        </w:rPr>
      </w:pPr>
    </w:p>
    <w:p w14:paraId="029BDB6A" w14:textId="51F9F1C0" w:rsidR="005E6B92" w:rsidRDefault="00952EB6" w:rsidP="0046529F">
      <w:pPr>
        <w:rPr>
          <w:rFonts w:ascii="Work Sans" w:hAnsi="Work Sans" w:cs="Arial"/>
          <w:sz w:val="20"/>
          <w:szCs w:val="20"/>
        </w:rPr>
      </w:pPr>
      <w:r>
        <w:rPr>
          <w:rFonts w:ascii="Work Sans" w:hAnsi="Work Sans" w:cs="Arial"/>
          <w:sz w:val="20"/>
          <w:szCs w:val="20"/>
        </w:rPr>
        <w:t>El panorama anterior, nos permite sacar una primera conclusión frente al objeto de la consulta. Los contratos derivados del Programa de Normalización de redes eléctricas – PRONE, regulados en su política, principalmente, por la Ley 1117 de 2006, le son aplicables las disposiciones derivadas del artículo 33 de la Ley 996 de 2005, por dos situaciones a saber:</w:t>
      </w:r>
    </w:p>
    <w:p w14:paraId="5B5A9F44" w14:textId="77777777" w:rsidR="00952EB6" w:rsidRDefault="00952EB6" w:rsidP="0046529F">
      <w:pPr>
        <w:rPr>
          <w:rFonts w:ascii="Work Sans" w:hAnsi="Work Sans" w:cs="Arial"/>
          <w:sz w:val="20"/>
          <w:szCs w:val="20"/>
        </w:rPr>
      </w:pPr>
    </w:p>
    <w:p w14:paraId="315E5DEE" w14:textId="11E7145D" w:rsidR="0030697C" w:rsidRDefault="00952EB6" w:rsidP="0030697C">
      <w:pPr>
        <w:pStyle w:val="p1"/>
        <w:numPr>
          <w:ilvl w:val="0"/>
          <w:numId w:val="6"/>
        </w:numPr>
        <w:spacing w:before="0" w:beforeAutospacing="0" w:after="0" w:afterAutospacing="0"/>
        <w:jc w:val="both"/>
        <w:rPr>
          <w:rFonts w:ascii="Work Sans" w:hAnsi="Work Sans" w:cs="Arial"/>
          <w:sz w:val="20"/>
          <w:szCs w:val="20"/>
        </w:rPr>
      </w:pPr>
      <w:r>
        <w:rPr>
          <w:rFonts w:ascii="Work Sans" w:hAnsi="Work Sans" w:cs="Arial"/>
          <w:sz w:val="20"/>
          <w:szCs w:val="20"/>
        </w:rPr>
        <w:lastRenderedPageBreak/>
        <w:t>Si</w:t>
      </w:r>
      <w:r w:rsidRPr="00952EB6">
        <w:rPr>
          <w:rFonts w:ascii="Work Sans" w:hAnsi="Work Sans" w:cs="Arial"/>
          <w:sz w:val="20"/>
          <w:szCs w:val="20"/>
        </w:rPr>
        <w:t xml:space="preserve"> bien los contratos PRONE son producto de convocatorias públicas, su celebración corresponde a una entidad estatal, en este caso, al Ministerio de Minas y Energía, el cual, conforme al artículo 2 de la Ley 80 de 1993, tiene la calidad de entidad estatal contratante y actúa en representación del Estado. En consecuencia, las disposiciones del artículo 33 de la Ley 996 de 2005 le resultan aplicables por razón del sujeto, esto es, por ser la entidad contratante un órgano de la administración pública del orden nacional</w:t>
      </w:r>
    </w:p>
    <w:p w14:paraId="7BD28AE3" w14:textId="77777777" w:rsidR="0030697C" w:rsidRPr="0030697C" w:rsidRDefault="0030697C" w:rsidP="0030697C">
      <w:pPr>
        <w:pStyle w:val="p1"/>
        <w:spacing w:before="0" w:beforeAutospacing="0" w:after="0" w:afterAutospacing="0"/>
        <w:ind w:left="720"/>
        <w:jc w:val="both"/>
        <w:rPr>
          <w:rFonts w:ascii="Work Sans" w:hAnsi="Work Sans" w:cs="Arial"/>
          <w:sz w:val="20"/>
          <w:szCs w:val="20"/>
        </w:rPr>
      </w:pPr>
    </w:p>
    <w:p w14:paraId="32EA8E80" w14:textId="3A10CB91" w:rsidR="0030697C" w:rsidRDefault="0030697C" w:rsidP="0030697C">
      <w:pPr>
        <w:pStyle w:val="p1"/>
        <w:numPr>
          <w:ilvl w:val="0"/>
          <w:numId w:val="6"/>
        </w:numPr>
        <w:jc w:val="both"/>
        <w:rPr>
          <w:rFonts w:ascii="Work Sans" w:hAnsi="Work Sans" w:cs="Arial"/>
          <w:sz w:val="20"/>
          <w:szCs w:val="20"/>
        </w:rPr>
      </w:pPr>
      <w:r w:rsidRPr="0030697C">
        <w:rPr>
          <w:rFonts w:ascii="Work Sans" w:hAnsi="Work Sans" w:cs="Arial"/>
          <w:sz w:val="20"/>
          <w:szCs w:val="20"/>
        </w:rPr>
        <w:t>Ahora bien, aunque los procesos PRONE se adelantan mediante convocatoria pública conforme a la Resolución 40432 de 2025, el análisis de su estructura normativa y operativa permite advertir que no existe pluralidad real de oferentes frente a una misma necesidad</w:t>
      </w:r>
      <w:r>
        <w:rPr>
          <w:rFonts w:ascii="Work Sans" w:hAnsi="Work Sans" w:cs="Arial"/>
          <w:sz w:val="20"/>
          <w:szCs w:val="20"/>
        </w:rPr>
        <w:t>.</w:t>
      </w:r>
    </w:p>
    <w:p w14:paraId="48D599A0" w14:textId="466617B0" w:rsidR="0030697C" w:rsidRDefault="0030697C" w:rsidP="0030697C">
      <w:pPr>
        <w:pStyle w:val="p1"/>
        <w:ind w:left="720"/>
        <w:jc w:val="both"/>
        <w:rPr>
          <w:rFonts w:ascii="Work Sans" w:hAnsi="Work Sans" w:cs="Arial"/>
          <w:sz w:val="20"/>
          <w:szCs w:val="20"/>
        </w:rPr>
      </w:pPr>
      <w:r w:rsidRPr="0030697C">
        <w:rPr>
          <w:rFonts w:ascii="Work Sans" w:hAnsi="Work Sans" w:cs="Arial"/>
          <w:sz w:val="20"/>
          <w:szCs w:val="20"/>
        </w:rPr>
        <w:t>Ello obedece a que, de acuerdo con la regulación vigente</w:t>
      </w:r>
      <w:r>
        <w:rPr>
          <w:rFonts w:ascii="Work Sans" w:hAnsi="Work Sans" w:cs="Arial"/>
          <w:sz w:val="20"/>
          <w:szCs w:val="20"/>
        </w:rPr>
        <w:t xml:space="preserve"> y la resolución en mención</w:t>
      </w:r>
      <w:r w:rsidRPr="0030697C">
        <w:rPr>
          <w:rFonts w:ascii="Work Sans" w:hAnsi="Work Sans" w:cs="Arial"/>
          <w:sz w:val="20"/>
          <w:szCs w:val="20"/>
        </w:rPr>
        <w:t>, cada Operador de Red (OR) tiene asignada una zona exclusiva de influencia dentro de la cual es el único autorizado para presentar y ejecutar proyectos de normalización de redes eléctricas. En consecuencia, no se configura una competencia efectiva entre oferentes por un mismo objeto contractual, sino un proceso de selección singular donde cada operador postula proyectos dentro de su propia jurisdicción técnica.</w:t>
      </w:r>
    </w:p>
    <w:p w14:paraId="5D13E903" w14:textId="2F32A6A8" w:rsidR="0030697C" w:rsidRPr="0030697C" w:rsidRDefault="0030697C" w:rsidP="0030697C">
      <w:pPr>
        <w:pStyle w:val="p1"/>
        <w:ind w:left="720"/>
        <w:jc w:val="both"/>
        <w:rPr>
          <w:rFonts w:ascii="Work Sans" w:hAnsi="Work Sans" w:cs="Arial"/>
          <w:sz w:val="20"/>
          <w:szCs w:val="20"/>
        </w:rPr>
      </w:pPr>
      <w:r w:rsidRPr="0030697C">
        <w:rPr>
          <w:rFonts w:ascii="Work Sans" w:hAnsi="Work Sans" w:cs="Arial"/>
          <w:sz w:val="20"/>
          <w:szCs w:val="20"/>
        </w:rPr>
        <w:t xml:space="preserve">Bajo este escenario, la convocatoria, si bien cumple con el principio de publicidad, prescinde del elemento de pluralidad de oferentes que caracteriza las modalidades de selección competitiva. Por tanto, en una interpretación sustancial del artículo 33 de la Ley 996 de 2005 </w:t>
      </w:r>
      <w:r>
        <w:rPr>
          <w:rFonts w:ascii="Work Sans" w:hAnsi="Work Sans" w:cs="Arial"/>
          <w:sz w:val="20"/>
          <w:szCs w:val="20"/>
        </w:rPr>
        <w:t>(</w:t>
      </w:r>
      <w:r w:rsidRPr="0030697C">
        <w:rPr>
          <w:rFonts w:ascii="Work Sans" w:hAnsi="Work Sans" w:cs="Arial"/>
          <w:sz w:val="20"/>
          <w:szCs w:val="20"/>
        </w:rPr>
        <w:t>según la jurisprudencia del Consejo de Estado, Concepto 1712 de 2006</w:t>
      </w:r>
      <w:r>
        <w:rPr>
          <w:rFonts w:ascii="Work Sans" w:hAnsi="Work Sans" w:cs="Arial"/>
          <w:sz w:val="20"/>
          <w:szCs w:val="20"/>
        </w:rPr>
        <w:t>)</w:t>
      </w:r>
      <w:r w:rsidRPr="0030697C">
        <w:rPr>
          <w:rFonts w:ascii="Work Sans" w:hAnsi="Work Sans" w:cs="Arial"/>
          <w:sz w:val="20"/>
          <w:szCs w:val="20"/>
        </w:rPr>
        <w:t>, podría entenderse que los contratos PRONE conservan rasgos propios de la contratación directa, al no existir competencia por el mismo objeto entre varios oferentes.</w:t>
      </w:r>
    </w:p>
    <w:p w14:paraId="090EEBE2" w14:textId="77777777" w:rsidR="0030697C" w:rsidRPr="0049507E" w:rsidRDefault="0030697C" w:rsidP="0049507E">
      <w:pPr>
        <w:jc w:val="both"/>
        <w:rPr>
          <w:rFonts w:ascii="Work Sans" w:hAnsi="Work Sans" w:cs="Arial"/>
          <w:sz w:val="20"/>
          <w:szCs w:val="20"/>
        </w:rPr>
      </w:pPr>
    </w:p>
    <w:p w14:paraId="59F15074" w14:textId="2D074CBB" w:rsidR="0049507E" w:rsidRDefault="0049507E" w:rsidP="0049507E">
      <w:pPr>
        <w:jc w:val="both"/>
        <w:rPr>
          <w:rFonts w:ascii="Work Sans" w:hAnsi="Work Sans" w:cs="Arial"/>
          <w:sz w:val="20"/>
          <w:szCs w:val="20"/>
        </w:rPr>
      </w:pPr>
      <w:r w:rsidRPr="0049507E">
        <w:rPr>
          <w:rFonts w:ascii="Work Sans" w:hAnsi="Work Sans" w:cs="Arial"/>
          <w:sz w:val="20"/>
          <w:szCs w:val="20"/>
        </w:rPr>
        <w:t>Ya que conocemos a modo general la consecuencia jurídica -prohibición de contratar-</w:t>
      </w:r>
      <w:r w:rsidR="0075543B">
        <w:rPr>
          <w:rFonts w:ascii="Work Sans" w:hAnsi="Work Sans" w:cs="Arial"/>
          <w:sz w:val="20"/>
          <w:szCs w:val="20"/>
        </w:rPr>
        <w:t xml:space="preserve"> y el supuesto de hecho del artículo 33 de la ley</w:t>
      </w:r>
      <w:r w:rsidRPr="0049507E">
        <w:rPr>
          <w:rFonts w:ascii="Work Sans" w:hAnsi="Work Sans" w:cs="Arial"/>
          <w:sz w:val="20"/>
          <w:szCs w:val="20"/>
        </w:rPr>
        <w:t xml:space="preserve">, ahora vamos a analizar el parágrafo </w:t>
      </w:r>
      <w:r>
        <w:rPr>
          <w:rFonts w:ascii="Work Sans" w:hAnsi="Work Sans" w:cs="Arial"/>
          <w:sz w:val="20"/>
          <w:szCs w:val="20"/>
        </w:rPr>
        <w:t xml:space="preserve">del artículo 38 de la Ley 996 de 2005, pero sólo el inciso que nos compete en materia de contratación estatal para mirar las claridades conceptuales básicas </w:t>
      </w:r>
      <w:r w:rsidR="0075543B">
        <w:rPr>
          <w:rFonts w:ascii="Work Sans" w:hAnsi="Work Sans" w:cs="Arial"/>
          <w:sz w:val="20"/>
          <w:szCs w:val="20"/>
        </w:rPr>
        <w:t>sobre este asunto.</w:t>
      </w:r>
    </w:p>
    <w:p w14:paraId="3EAAE8D6" w14:textId="77777777" w:rsidR="0075543B" w:rsidRDefault="0075543B" w:rsidP="0049507E">
      <w:pPr>
        <w:jc w:val="both"/>
        <w:rPr>
          <w:rFonts w:ascii="Work Sans" w:hAnsi="Work Sans" w:cs="Arial"/>
          <w:sz w:val="20"/>
          <w:szCs w:val="20"/>
        </w:rPr>
      </w:pPr>
    </w:p>
    <w:p w14:paraId="1CA3E5C3" w14:textId="26DCE722" w:rsidR="0075543B" w:rsidRDefault="0075543B" w:rsidP="0049507E">
      <w:pPr>
        <w:jc w:val="both"/>
        <w:rPr>
          <w:rFonts w:ascii="Work Sans" w:hAnsi="Work Sans" w:cs="Arial"/>
          <w:sz w:val="20"/>
          <w:szCs w:val="20"/>
        </w:rPr>
      </w:pPr>
      <w:r>
        <w:rPr>
          <w:rFonts w:ascii="Work Sans" w:hAnsi="Work Sans" w:cs="Arial"/>
          <w:sz w:val="20"/>
          <w:szCs w:val="20"/>
        </w:rPr>
        <w:t xml:space="preserve">El parágrafo del artículo 38 tan mencionado, nos ofrece un ámbito de prohibición mucho más restringido, </w:t>
      </w:r>
      <w:r w:rsidRPr="0075543B">
        <w:rPr>
          <w:rFonts w:ascii="Work Sans" w:hAnsi="Work Sans" w:cs="Arial"/>
          <w:sz w:val="20"/>
          <w:szCs w:val="20"/>
        </w:rPr>
        <w:t>en tanto circunscribe su aplicación a determinados sujetos y actos del orden territorial, a saber:</w:t>
      </w:r>
    </w:p>
    <w:p w14:paraId="6D264741" w14:textId="77777777" w:rsidR="0075543B" w:rsidRDefault="0075543B" w:rsidP="0049507E">
      <w:pPr>
        <w:jc w:val="both"/>
        <w:rPr>
          <w:rFonts w:ascii="Work Sans" w:hAnsi="Work Sans" w:cs="Arial"/>
          <w:sz w:val="20"/>
          <w:szCs w:val="20"/>
        </w:rPr>
      </w:pPr>
    </w:p>
    <w:p w14:paraId="3F01622D" w14:textId="0C17758F" w:rsidR="0075543B" w:rsidRDefault="0075543B" w:rsidP="0075543B">
      <w:pPr>
        <w:ind w:left="708"/>
        <w:jc w:val="both"/>
        <w:rPr>
          <w:rFonts w:ascii="Work Sans" w:hAnsi="Work Sans" w:cs="Arial"/>
          <w:sz w:val="18"/>
          <w:szCs w:val="18"/>
        </w:rPr>
      </w:pPr>
      <w:r w:rsidRPr="0075543B">
        <w:rPr>
          <w:rFonts w:ascii="Work Sans" w:hAnsi="Work Sans" w:cs="Arial"/>
          <w:b/>
          <w:bCs/>
          <w:sz w:val="18"/>
          <w:szCs w:val="18"/>
        </w:rPr>
        <w:t>PARÁGRAFO.</w:t>
      </w:r>
      <w:r w:rsidRPr="0075543B">
        <w:rPr>
          <w:rFonts w:ascii="Work Sans" w:hAnsi="Work Sans" w:cs="Arial"/>
          <w:sz w:val="18"/>
          <w:szCs w:val="18"/>
        </w:rPr>
        <w:t> Los gobernadores, alcaldes municipales y/o distritales, secretarios, gerentes y directores de entidades descentralizadas del orden municipal, departamental o distrital, dentro de los cuatro (4) meses anteriores a las elecciones, no podrán celebrar convenios interadministrativos para la ejecución de recursos públicos, ni participar, promover y destinar recursos públicos de las entidades a su cargo, como tampoco de las que participen como miembros de sus juntas directivas, en o para reuniones de carácter proselitista.</w:t>
      </w:r>
    </w:p>
    <w:p w14:paraId="497E4A9C" w14:textId="77777777" w:rsidR="0075543B" w:rsidRDefault="0075543B" w:rsidP="0075543B">
      <w:pPr>
        <w:ind w:left="708"/>
        <w:jc w:val="both"/>
        <w:rPr>
          <w:rFonts w:ascii="Work Sans" w:hAnsi="Work Sans" w:cs="Arial"/>
          <w:sz w:val="18"/>
          <w:szCs w:val="18"/>
        </w:rPr>
      </w:pPr>
    </w:p>
    <w:p w14:paraId="76CD45FB" w14:textId="77777777" w:rsidR="0075543B" w:rsidRDefault="0075543B" w:rsidP="0075543B">
      <w:pPr>
        <w:jc w:val="both"/>
        <w:rPr>
          <w:rFonts w:ascii="Work Sans" w:hAnsi="Work Sans" w:cs="Arial"/>
          <w:sz w:val="18"/>
          <w:szCs w:val="18"/>
        </w:rPr>
      </w:pPr>
    </w:p>
    <w:p w14:paraId="30214060" w14:textId="77777777" w:rsidR="001E4425" w:rsidRDefault="0075543B" w:rsidP="0075543B">
      <w:pPr>
        <w:jc w:val="both"/>
        <w:rPr>
          <w:rFonts w:ascii="Work Sans" w:hAnsi="Work Sans" w:cs="Arial"/>
          <w:sz w:val="20"/>
          <w:szCs w:val="20"/>
        </w:rPr>
      </w:pPr>
      <w:r w:rsidRPr="0075543B">
        <w:rPr>
          <w:rFonts w:ascii="Work Sans" w:hAnsi="Work Sans" w:cs="Arial"/>
          <w:sz w:val="20"/>
          <w:szCs w:val="20"/>
        </w:rPr>
        <w:lastRenderedPageBreak/>
        <w:t>Así como el artículo 33, la norma en cita también contempla dos elementos que son clave para analizar</w:t>
      </w:r>
      <w:r>
        <w:rPr>
          <w:rFonts w:ascii="Work Sans" w:hAnsi="Work Sans" w:cs="Arial"/>
          <w:sz w:val="20"/>
          <w:szCs w:val="20"/>
        </w:rPr>
        <w:t xml:space="preserve">, pero antes de entrar en materia, debe advertirse que al no haber distinción normativa expresa, esta prohibición aplica para cualquier tipo de elección -presidenciales, legislativas, locales-. </w:t>
      </w:r>
    </w:p>
    <w:p w14:paraId="1519AC9D" w14:textId="77777777" w:rsidR="001E4425" w:rsidRDefault="001E4425" w:rsidP="0075543B">
      <w:pPr>
        <w:jc w:val="both"/>
        <w:rPr>
          <w:rFonts w:ascii="Work Sans" w:hAnsi="Work Sans" w:cs="Arial"/>
          <w:sz w:val="20"/>
          <w:szCs w:val="20"/>
        </w:rPr>
      </w:pPr>
    </w:p>
    <w:p w14:paraId="5ABBB1F6" w14:textId="57F26DA4" w:rsidR="0075543B" w:rsidRDefault="001E4425" w:rsidP="0075543B">
      <w:pPr>
        <w:jc w:val="both"/>
        <w:rPr>
          <w:rFonts w:ascii="Work Sans" w:hAnsi="Work Sans" w:cs="Arial"/>
          <w:sz w:val="20"/>
          <w:szCs w:val="20"/>
        </w:rPr>
      </w:pPr>
      <w:r>
        <w:rPr>
          <w:rFonts w:ascii="Work Sans" w:hAnsi="Work Sans" w:cs="Arial"/>
          <w:sz w:val="20"/>
          <w:szCs w:val="20"/>
        </w:rPr>
        <w:t>Ahora sí, e</w:t>
      </w:r>
      <w:r w:rsidR="0075543B">
        <w:rPr>
          <w:rFonts w:ascii="Work Sans" w:hAnsi="Work Sans" w:cs="Arial"/>
          <w:sz w:val="20"/>
          <w:szCs w:val="20"/>
        </w:rPr>
        <w:t xml:space="preserve">l primero de ellos también hace referencia a los sujetos, </w:t>
      </w:r>
      <w:r>
        <w:rPr>
          <w:rFonts w:ascii="Work Sans" w:hAnsi="Work Sans" w:cs="Arial"/>
          <w:sz w:val="20"/>
          <w:szCs w:val="20"/>
        </w:rPr>
        <w:t>que como bien lo señala la ANCP-CCE</w:t>
      </w:r>
      <w:r w:rsidR="00826B8A">
        <w:rPr>
          <w:rFonts w:ascii="Work Sans" w:hAnsi="Work Sans" w:cs="Arial"/>
          <w:sz w:val="20"/>
          <w:szCs w:val="20"/>
        </w:rPr>
        <w:t>,</w:t>
      </w:r>
      <w:r>
        <w:rPr>
          <w:rFonts w:ascii="Work Sans" w:hAnsi="Work Sans" w:cs="Arial"/>
          <w:sz w:val="20"/>
          <w:szCs w:val="20"/>
        </w:rPr>
        <w:t xml:space="preserve"> en la circular 06 de </w:t>
      </w:r>
      <w:r w:rsidR="009254BB">
        <w:rPr>
          <w:rFonts w:ascii="Work Sans" w:hAnsi="Work Sans" w:cs="Arial"/>
          <w:sz w:val="20"/>
          <w:szCs w:val="20"/>
        </w:rPr>
        <w:t xml:space="preserve">2025, no se extiende a sujetos diferentes a </w:t>
      </w:r>
      <w:r w:rsidR="009254BB" w:rsidRPr="009254BB">
        <w:rPr>
          <w:rFonts w:ascii="Work Sans" w:hAnsi="Work Sans" w:cs="Arial"/>
          <w:sz w:val="20"/>
          <w:szCs w:val="20"/>
        </w:rPr>
        <w:t>los Alcaldes, Gobernadores, Secretarios, Gerentes y Directores de las entidades descentralizadas del orden municipal, departamental o distrital</w:t>
      </w:r>
      <w:r w:rsidR="00781199">
        <w:rPr>
          <w:rFonts w:ascii="Work Sans" w:hAnsi="Work Sans" w:cs="Arial"/>
          <w:sz w:val="20"/>
          <w:szCs w:val="20"/>
        </w:rPr>
        <w:t>, por lo cual, no cobija a todos los entes públicos con capacidad de contratar.</w:t>
      </w:r>
    </w:p>
    <w:p w14:paraId="22C81C82" w14:textId="77777777" w:rsidR="001E4425" w:rsidRDefault="001E4425" w:rsidP="0075543B">
      <w:pPr>
        <w:jc w:val="both"/>
        <w:rPr>
          <w:rFonts w:ascii="Work Sans" w:hAnsi="Work Sans" w:cs="Arial"/>
          <w:sz w:val="20"/>
          <w:szCs w:val="20"/>
        </w:rPr>
      </w:pPr>
    </w:p>
    <w:p w14:paraId="4AAD553B" w14:textId="0D8EDCBD" w:rsidR="00E020D7" w:rsidRDefault="00455C6A" w:rsidP="0046529F">
      <w:pPr>
        <w:rPr>
          <w:rFonts w:ascii="Work Sans" w:hAnsi="Work Sans" w:cs="Arial"/>
          <w:sz w:val="20"/>
          <w:szCs w:val="20"/>
        </w:rPr>
      </w:pPr>
      <w:r w:rsidRPr="00455C6A">
        <w:rPr>
          <w:rFonts w:ascii="Work Sans" w:hAnsi="Work Sans" w:cs="Arial"/>
          <w:sz w:val="20"/>
          <w:szCs w:val="20"/>
        </w:rPr>
        <w:t>El segundo, por su parte, alude a una prohibición específica relacionada con la celebración de convenios interadministrativos destinados a la ejecución de recursos públicos. En este caso, la restricción no recae sobre una modalidad de selección —como ocurre con la contratación directa—, sino sobre una tipología contractual concreta, esto es, el convenio interadministrativo que implique la ejecución de recursos públicos.</w:t>
      </w:r>
    </w:p>
    <w:p w14:paraId="591CE4CC" w14:textId="77777777" w:rsidR="0005563A" w:rsidRDefault="0005563A" w:rsidP="0005563A">
      <w:pPr>
        <w:rPr>
          <w:rFonts w:ascii="Work Sans" w:hAnsi="Work Sans" w:cs="Arial"/>
          <w:sz w:val="20"/>
          <w:szCs w:val="20"/>
        </w:rPr>
      </w:pPr>
    </w:p>
    <w:p w14:paraId="6E1BEADF" w14:textId="19BB62D0" w:rsidR="00FA23C7" w:rsidRDefault="0005563A" w:rsidP="00FA23C7">
      <w:pPr>
        <w:jc w:val="both"/>
        <w:rPr>
          <w:rFonts w:ascii=".AppleSystemUIFont" w:hAnsi=".AppleSystemUIFont"/>
          <w:color w:val="0E0E0E"/>
          <w:sz w:val="21"/>
          <w:szCs w:val="21"/>
        </w:rPr>
      </w:pPr>
      <w:r w:rsidRPr="0005563A">
        <w:rPr>
          <w:rFonts w:ascii="Work Sans" w:hAnsi="Work Sans" w:cs="Arial"/>
          <w:sz w:val="20"/>
          <w:szCs w:val="20"/>
        </w:rPr>
        <w:t xml:space="preserve">Recientemente, en relación con la interpretación del parágrafo del artículo 38 de la Ley 996 de 2005, el Consejo de Estado, </w:t>
      </w:r>
      <w:r w:rsidR="00FA23C7" w:rsidRPr="00FA23C7">
        <w:rPr>
          <w:rFonts w:ascii="Work Sans" w:hAnsi="Work Sans" w:cs="Arial"/>
          <w:sz w:val="20"/>
          <w:szCs w:val="20"/>
        </w:rPr>
        <w:t>mediante Auto del 4 de octubre de 2024 (</w:t>
      </w:r>
      <w:proofErr w:type="spellStart"/>
      <w:r w:rsidR="00FA23C7" w:rsidRPr="00FA23C7">
        <w:rPr>
          <w:rFonts w:ascii="Work Sans" w:hAnsi="Work Sans" w:cs="Arial"/>
          <w:sz w:val="20"/>
          <w:szCs w:val="20"/>
        </w:rPr>
        <w:t>Exp</w:t>
      </w:r>
      <w:proofErr w:type="spellEnd"/>
      <w:r w:rsidR="00FA23C7" w:rsidRPr="00FA23C7">
        <w:rPr>
          <w:rFonts w:ascii="Work Sans" w:hAnsi="Work Sans" w:cs="Arial"/>
          <w:sz w:val="20"/>
          <w:szCs w:val="20"/>
        </w:rPr>
        <w:t>. 70.313) a Sección Tercera del Consejo de Estado decretó la suspensión provisional parcial del numeral 16.2 de la Circular Externa Única de 2022, en cuanto equiparaba los contratos interadministrativos con los convenios interadministrativos para efectos de la restricción prevista en la Ley de Garantías. La providencia judicial precisó que ambas figuras deben distinguirse por su naturaleza, contenido y alcance, criterio que ha sido reiterado tanto por la Sección Tercera como por la Sala de Consulta y Servicio Civil de la misma Corporación.</w:t>
      </w:r>
    </w:p>
    <w:p w14:paraId="239C0F39" w14:textId="400E5084" w:rsidR="00FA23C7" w:rsidRDefault="00FA23C7" w:rsidP="0005563A">
      <w:pPr>
        <w:jc w:val="both"/>
        <w:rPr>
          <w:rFonts w:ascii="Work Sans" w:hAnsi="Work Sans" w:cs="Arial"/>
          <w:sz w:val="20"/>
          <w:szCs w:val="20"/>
        </w:rPr>
      </w:pPr>
    </w:p>
    <w:p w14:paraId="5A93B711" w14:textId="7155AFB4" w:rsidR="0005563A" w:rsidRPr="0005563A" w:rsidRDefault="00FA23C7" w:rsidP="0005563A">
      <w:pPr>
        <w:jc w:val="both"/>
        <w:rPr>
          <w:rFonts w:ascii="Work Sans" w:hAnsi="Work Sans" w:cs="Arial"/>
          <w:sz w:val="20"/>
          <w:szCs w:val="20"/>
        </w:rPr>
      </w:pPr>
      <w:r>
        <w:rPr>
          <w:rFonts w:ascii="Work Sans" w:hAnsi="Work Sans" w:cs="Arial"/>
          <w:sz w:val="20"/>
          <w:szCs w:val="20"/>
        </w:rPr>
        <w:t xml:space="preserve">Misma situación se presenta </w:t>
      </w:r>
      <w:r w:rsidR="0005563A" w:rsidRPr="0005563A">
        <w:rPr>
          <w:rFonts w:ascii="Work Sans" w:hAnsi="Work Sans" w:cs="Arial"/>
          <w:sz w:val="20"/>
          <w:szCs w:val="20"/>
        </w:rPr>
        <w:t xml:space="preserve">mediante </w:t>
      </w:r>
      <w:r>
        <w:rPr>
          <w:rFonts w:ascii="Work Sans" w:hAnsi="Work Sans" w:cs="Arial"/>
          <w:sz w:val="20"/>
          <w:szCs w:val="20"/>
        </w:rPr>
        <w:t xml:space="preserve">el </w:t>
      </w:r>
      <w:r w:rsidR="0005563A" w:rsidRPr="0005563A">
        <w:rPr>
          <w:rFonts w:ascii="Work Sans" w:hAnsi="Work Sans" w:cs="Arial"/>
          <w:sz w:val="20"/>
          <w:szCs w:val="20"/>
        </w:rPr>
        <w:t xml:space="preserve">Auto del 6 de noviembre de 2025 (Rad. 11001-03-26-000-2025-00016-00, </w:t>
      </w:r>
      <w:proofErr w:type="spellStart"/>
      <w:r w:rsidR="0005563A" w:rsidRPr="0005563A">
        <w:rPr>
          <w:rFonts w:ascii="Work Sans" w:hAnsi="Work Sans" w:cs="Arial"/>
          <w:sz w:val="20"/>
          <w:szCs w:val="20"/>
        </w:rPr>
        <w:t>Exp</w:t>
      </w:r>
      <w:proofErr w:type="spellEnd"/>
      <w:r w:rsidR="0005563A" w:rsidRPr="0005563A">
        <w:rPr>
          <w:rFonts w:ascii="Work Sans" w:hAnsi="Work Sans" w:cs="Arial"/>
          <w:sz w:val="20"/>
          <w:szCs w:val="20"/>
        </w:rPr>
        <w:t>. 72.424), donde decreta medida de suspensión provisional de los apartes cuestionados del inciso segundo del numeral 16.2 de la Circular Externa única, versión 3 del 27 de diciembre de 2023 de</w:t>
      </w:r>
      <w:r w:rsidR="0005563A">
        <w:rPr>
          <w:rFonts w:ascii="Work Sans" w:hAnsi="Work Sans" w:cs="Arial"/>
          <w:sz w:val="20"/>
          <w:szCs w:val="20"/>
        </w:rPr>
        <w:t xml:space="preserve"> la ANCP-CCE</w:t>
      </w:r>
      <w:r w:rsidR="0005563A">
        <w:rPr>
          <w:rStyle w:val="Refdenotaalpie"/>
          <w:rFonts w:ascii="Work Sans" w:hAnsi="Work Sans" w:cs="Arial"/>
          <w:sz w:val="20"/>
          <w:szCs w:val="20"/>
        </w:rPr>
        <w:footnoteReference w:id="7"/>
      </w:r>
      <w:r w:rsidR="0005563A">
        <w:rPr>
          <w:rFonts w:ascii="Work Sans" w:hAnsi="Work Sans" w:cs="Arial"/>
          <w:sz w:val="20"/>
          <w:szCs w:val="20"/>
        </w:rPr>
        <w:t>, dentro del medio de control de control de nulidad simple del Decreto 1437 de 2011.</w:t>
      </w:r>
    </w:p>
    <w:p w14:paraId="6D694D6D" w14:textId="77777777" w:rsidR="0005563A" w:rsidRDefault="0005563A" w:rsidP="0005563A">
      <w:pPr>
        <w:rPr>
          <w:rFonts w:ascii=".AppleSystemUIFont" w:hAnsi=".AppleSystemUIFont"/>
          <w:color w:val="0E0E0E"/>
          <w:sz w:val="21"/>
          <w:szCs w:val="21"/>
        </w:rPr>
      </w:pPr>
    </w:p>
    <w:p w14:paraId="68C8D348" w14:textId="40037B21" w:rsidR="0005563A" w:rsidRPr="0005563A" w:rsidRDefault="0005563A" w:rsidP="0005563A">
      <w:pPr>
        <w:jc w:val="both"/>
        <w:rPr>
          <w:rFonts w:ascii="Work Sans" w:hAnsi="Work Sans" w:cs="Arial"/>
          <w:sz w:val="20"/>
          <w:szCs w:val="20"/>
        </w:rPr>
      </w:pPr>
      <w:r w:rsidRPr="0005563A">
        <w:rPr>
          <w:rFonts w:ascii="Work Sans" w:hAnsi="Work Sans" w:cs="Arial"/>
          <w:sz w:val="20"/>
          <w:szCs w:val="20"/>
        </w:rPr>
        <w:lastRenderedPageBreak/>
        <w:t>En esta oportunidad precisó que dicha disposición tiene reserva de ley estatutaria y, en consecuencia, no puede ser modificada ni ampliada por actos administrativos de carácter general, como circulares o directrices.</w:t>
      </w:r>
    </w:p>
    <w:p w14:paraId="2B9B27DB" w14:textId="77777777" w:rsidR="0005563A" w:rsidRPr="0005563A" w:rsidRDefault="0005563A" w:rsidP="0005563A">
      <w:pPr>
        <w:jc w:val="both"/>
        <w:rPr>
          <w:rFonts w:ascii="Work Sans" w:hAnsi="Work Sans" w:cs="Arial"/>
          <w:sz w:val="20"/>
          <w:szCs w:val="20"/>
        </w:rPr>
      </w:pPr>
    </w:p>
    <w:p w14:paraId="7B5E4DB0" w14:textId="77777777" w:rsidR="0005563A" w:rsidRDefault="0005563A" w:rsidP="0005563A">
      <w:pPr>
        <w:jc w:val="both"/>
        <w:rPr>
          <w:rFonts w:ascii="Work Sans" w:hAnsi="Work Sans" w:cs="Arial"/>
          <w:sz w:val="20"/>
          <w:szCs w:val="20"/>
        </w:rPr>
      </w:pPr>
      <w:r w:rsidRPr="0005563A">
        <w:rPr>
          <w:rFonts w:ascii="Work Sans" w:hAnsi="Work Sans" w:cs="Arial"/>
          <w:sz w:val="20"/>
          <w:szCs w:val="20"/>
        </w:rPr>
        <w:t>La Corporación reiteró que la prohibición allí contenida es de interpretación estricta, limitada a los gobernadores, alcaldes, secretarios, gerentes y directores de entidades descentralizadas del orden territorial, y solo respecto de la celebración de convenios interadministrativos para la ejecución de recursos públicos.</w:t>
      </w:r>
    </w:p>
    <w:p w14:paraId="4E0AE487" w14:textId="77777777" w:rsidR="00FA23C7" w:rsidRPr="0005563A" w:rsidRDefault="00FA23C7" w:rsidP="0005563A">
      <w:pPr>
        <w:jc w:val="both"/>
        <w:rPr>
          <w:rFonts w:ascii="Work Sans" w:hAnsi="Work Sans" w:cs="Arial"/>
          <w:sz w:val="20"/>
          <w:szCs w:val="20"/>
        </w:rPr>
      </w:pPr>
    </w:p>
    <w:p w14:paraId="6BD765A7" w14:textId="77777777" w:rsidR="0005563A" w:rsidRDefault="0005563A" w:rsidP="0005563A">
      <w:pPr>
        <w:jc w:val="both"/>
        <w:rPr>
          <w:rFonts w:ascii="Work Sans" w:hAnsi="Work Sans" w:cs="Arial"/>
          <w:sz w:val="20"/>
          <w:szCs w:val="20"/>
        </w:rPr>
      </w:pPr>
      <w:r w:rsidRPr="0005563A">
        <w:rPr>
          <w:rFonts w:ascii="Work Sans" w:hAnsi="Work Sans" w:cs="Arial"/>
          <w:sz w:val="20"/>
          <w:szCs w:val="20"/>
        </w:rPr>
        <w:t>En tal sentido, no resulta jurídicamente procedente extender la restricción a los contratos interadministrativos ni a entidades del orden nacional, dado que ello supondría alterar el contenido material de una norma estatutaria, excediendo la competencia de las autoridades administrativas.</w:t>
      </w:r>
    </w:p>
    <w:p w14:paraId="4C315617" w14:textId="77777777" w:rsidR="00FA23C7" w:rsidRDefault="00FA23C7" w:rsidP="0005563A">
      <w:pPr>
        <w:jc w:val="both"/>
        <w:rPr>
          <w:rFonts w:ascii="Work Sans" w:hAnsi="Work Sans" w:cs="Arial"/>
          <w:sz w:val="20"/>
          <w:szCs w:val="20"/>
        </w:rPr>
      </w:pPr>
    </w:p>
    <w:p w14:paraId="47E96AA6" w14:textId="301604BA" w:rsidR="00FA23C7" w:rsidRPr="0005563A" w:rsidRDefault="00FA23C7" w:rsidP="0005563A">
      <w:pPr>
        <w:jc w:val="both"/>
        <w:rPr>
          <w:rFonts w:ascii="Work Sans" w:hAnsi="Work Sans" w:cs="Arial"/>
          <w:sz w:val="20"/>
          <w:szCs w:val="20"/>
        </w:rPr>
      </w:pPr>
      <w:r>
        <w:rPr>
          <w:rFonts w:ascii="Work Sans" w:hAnsi="Work Sans" w:cs="Arial"/>
          <w:sz w:val="20"/>
          <w:szCs w:val="20"/>
        </w:rPr>
        <w:t xml:space="preserve">Esa interpretación, fue tenida en cuenta por la ANCP-CCE para la expedición de la Circular no. 06 de 2025, </w:t>
      </w:r>
      <w:r w:rsidRPr="00FA23C7">
        <w:rPr>
          <w:rFonts w:ascii="Work Sans" w:hAnsi="Work Sans" w:cs="Arial"/>
          <w:sz w:val="20"/>
          <w:szCs w:val="20"/>
        </w:rPr>
        <w:t>aunque la ANCP-CCE manifestó su respeto y acatamiento frente a la decisión judicial, también expresó que no comparte los argumentos expuestos por el Consejo de Estado, al considerar que excluir los contratos interadministrativos del ámbito de aplicación de la Ley de Garantías debilitaría el propósito preventivo de la norma, orientado a evitar el uso indebido de los recursos públicos con fines electorales. Por ello, la Agencia recomendó que los sujetos señalados en la Ley 996 de 2005 se abstengan de celebrar tanto convenios como contratos interadministrativos durante los periodos preelectorales, manteniendo así una postura interpretativa de mayor cautela institucional.</w:t>
      </w:r>
    </w:p>
    <w:p w14:paraId="07E6AE6F" w14:textId="77777777" w:rsidR="0005563A" w:rsidRDefault="0005563A" w:rsidP="0005563A">
      <w:pPr>
        <w:rPr>
          <w:rFonts w:ascii="Work Sans" w:hAnsi="Work Sans" w:cs="Arial"/>
          <w:sz w:val="20"/>
          <w:szCs w:val="20"/>
        </w:rPr>
      </w:pPr>
    </w:p>
    <w:p w14:paraId="1284B709" w14:textId="60D51DD1" w:rsidR="00346E45" w:rsidRDefault="00346E45" w:rsidP="00EC6727">
      <w:pPr>
        <w:jc w:val="both"/>
        <w:rPr>
          <w:rFonts w:ascii="Work Sans" w:hAnsi="Work Sans" w:cs="Arial"/>
          <w:sz w:val="20"/>
          <w:szCs w:val="20"/>
        </w:rPr>
      </w:pPr>
      <w:r>
        <w:rPr>
          <w:rFonts w:ascii="Work Sans" w:hAnsi="Work Sans" w:cs="Arial"/>
          <w:sz w:val="20"/>
          <w:szCs w:val="20"/>
        </w:rPr>
        <w:t>De esta forma, resulta notorio que hay dos conclusiones que también podríamos ir decantando frente a la consulta elevada:</w:t>
      </w:r>
    </w:p>
    <w:p w14:paraId="094355A8" w14:textId="77777777" w:rsidR="00346E45" w:rsidRDefault="00346E45" w:rsidP="0005563A">
      <w:pPr>
        <w:rPr>
          <w:rFonts w:ascii="Work Sans" w:hAnsi="Work Sans" w:cs="Arial"/>
          <w:sz w:val="20"/>
          <w:szCs w:val="20"/>
        </w:rPr>
      </w:pPr>
    </w:p>
    <w:p w14:paraId="61D0CE04" w14:textId="2A499AB1" w:rsidR="006157A7" w:rsidRDefault="00346E45" w:rsidP="006A358C">
      <w:pPr>
        <w:pStyle w:val="Prrafodelista"/>
        <w:numPr>
          <w:ilvl w:val="0"/>
          <w:numId w:val="7"/>
        </w:numPr>
        <w:jc w:val="both"/>
        <w:rPr>
          <w:rFonts w:ascii="Work Sans" w:hAnsi="Work Sans" w:cs="Arial"/>
          <w:sz w:val="20"/>
          <w:szCs w:val="20"/>
        </w:rPr>
      </w:pPr>
      <w:r w:rsidRPr="00346E45">
        <w:rPr>
          <w:rFonts w:ascii="Work Sans" w:hAnsi="Work Sans" w:cs="Arial"/>
          <w:sz w:val="20"/>
          <w:szCs w:val="20"/>
        </w:rPr>
        <w:t>En virtud de lo establecido en el parágrafo del artículo 38 de la Ley 996 de 2005 y conforme a la interpretación restrictiva reiterada por el Consejo de Estado</w:t>
      </w:r>
      <w:r>
        <w:rPr>
          <w:rFonts w:ascii="Work Sans" w:hAnsi="Work Sans" w:cs="Arial"/>
          <w:sz w:val="20"/>
          <w:szCs w:val="20"/>
        </w:rPr>
        <w:t xml:space="preserve">  (</w:t>
      </w:r>
      <w:r w:rsidRPr="00346E45">
        <w:rPr>
          <w:rFonts w:ascii="Work Sans" w:hAnsi="Work Sans" w:cs="Arial"/>
          <w:sz w:val="20"/>
          <w:szCs w:val="20"/>
        </w:rPr>
        <w:t xml:space="preserve">particularmente en el Auto del </w:t>
      </w:r>
      <w:r>
        <w:rPr>
          <w:rFonts w:ascii="Work Sans" w:hAnsi="Work Sans" w:cs="Arial"/>
          <w:sz w:val="20"/>
          <w:szCs w:val="20"/>
        </w:rPr>
        <w:t>4</w:t>
      </w:r>
      <w:r w:rsidRPr="00346E45">
        <w:rPr>
          <w:rFonts w:ascii="Work Sans" w:hAnsi="Work Sans" w:cs="Arial"/>
          <w:sz w:val="20"/>
          <w:szCs w:val="20"/>
        </w:rPr>
        <w:t xml:space="preserve"> de </w:t>
      </w:r>
      <w:r>
        <w:rPr>
          <w:rFonts w:ascii="Work Sans" w:hAnsi="Work Sans" w:cs="Arial"/>
          <w:sz w:val="20"/>
          <w:szCs w:val="20"/>
        </w:rPr>
        <w:t>octubre</w:t>
      </w:r>
      <w:r w:rsidRPr="00346E45">
        <w:rPr>
          <w:rFonts w:ascii="Work Sans" w:hAnsi="Work Sans" w:cs="Arial"/>
          <w:sz w:val="20"/>
          <w:szCs w:val="20"/>
        </w:rPr>
        <w:t xml:space="preserve"> de 2025 </w:t>
      </w:r>
      <w:proofErr w:type="spellStart"/>
      <w:r w:rsidR="00950B6A">
        <w:rPr>
          <w:rFonts w:ascii="Work Sans" w:hAnsi="Work Sans" w:cs="Arial"/>
          <w:sz w:val="20"/>
          <w:szCs w:val="20"/>
        </w:rPr>
        <w:t>e</w:t>
      </w:r>
      <w:r w:rsidRPr="00FA23C7">
        <w:rPr>
          <w:rFonts w:ascii="Work Sans" w:hAnsi="Work Sans" w:cs="Arial"/>
          <w:sz w:val="20"/>
          <w:szCs w:val="20"/>
        </w:rPr>
        <w:t>xp</w:t>
      </w:r>
      <w:proofErr w:type="spellEnd"/>
      <w:r w:rsidRPr="00FA23C7">
        <w:rPr>
          <w:rFonts w:ascii="Work Sans" w:hAnsi="Work Sans" w:cs="Arial"/>
          <w:sz w:val="20"/>
          <w:szCs w:val="20"/>
        </w:rPr>
        <w:t>. 70.313</w:t>
      </w:r>
      <w:r>
        <w:rPr>
          <w:rFonts w:ascii="Work Sans" w:hAnsi="Work Sans" w:cs="Arial"/>
          <w:sz w:val="20"/>
          <w:szCs w:val="20"/>
        </w:rPr>
        <w:t xml:space="preserve"> y del 6 de noviembre </w:t>
      </w:r>
      <w:proofErr w:type="spellStart"/>
      <w:r w:rsidR="00950B6A">
        <w:rPr>
          <w:rFonts w:ascii="Work Sans" w:hAnsi="Work Sans" w:cs="Arial"/>
          <w:sz w:val="20"/>
          <w:szCs w:val="20"/>
        </w:rPr>
        <w:t>e</w:t>
      </w:r>
      <w:r w:rsidRPr="0005563A">
        <w:rPr>
          <w:rFonts w:ascii="Work Sans" w:hAnsi="Work Sans" w:cs="Arial"/>
          <w:sz w:val="20"/>
          <w:szCs w:val="20"/>
        </w:rPr>
        <w:t>xp</w:t>
      </w:r>
      <w:proofErr w:type="spellEnd"/>
      <w:r w:rsidRPr="0005563A">
        <w:rPr>
          <w:rFonts w:ascii="Work Sans" w:hAnsi="Work Sans" w:cs="Arial"/>
          <w:sz w:val="20"/>
          <w:szCs w:val="20"/>
        </w:rPr>
        <w:t>.</w:t>
      </w:r>
      <w:r w:rsidR="00950B6A">
        <w:rPr>
          <w:rFonts w:ascii="Work Sans" w:hAnsi="Work Sans" w:cs="Arial"/>
          <w:sz w:val="20"/>
          <w:szCs w:val="20"/>
        </w:rPr>
        <w:t xml:space="preserve"> </w:t>
      </w:r>
      <w:r w:rsidRPr="0005563A">
        <w:rPr>
          <w:rFonts w:ascii="Work Sans" w:hAnsi="Work Sans" w:cs="Arial"/>
          <w:sz w:val="20"/>
          <w:szCs w:val="20"/>
        </w:rPr>
        <w:t>72.424</w:t>
      </w:r>
      <w:r>
        <w:rPr>
          <w:rFonts w:ascii="Work Sans" w:hAnsi="Work Sans" w:cs="Arial"/>
          <w:sz w:val="20"/>
          <w:szCs w:val="20"/>
        </w:rPr>
        <w:t>)</w:t>
      </w:r>
      <w:r w:rsidRPr="00346E45">
        <w:rPr>
          <w:rFonts w:ascii="Work Sans" w:hAnsi="Work Sans" w:cs="Arial"/>
          <w:sz w:val="20"/>
          <w:szCs w:val="20"/>
        </w:rPr>
        <w:t>, la prohibición allí contenida se circunscribe exclusivamente a los gobernadores, alcaldes, secretarios, gerentes y directores de entidades descentralizadas del orden territorial.</w:t>
      </w:r>
      <w:r>
        <w:rPr>
          <w:rFonts w:ascii="Work Sans" w:hAnsi="Work Sans" w:cs="Arial"/>
          <w:sz w:val="20"/>
          <w:szCs w:val="20"/>
        </w:rPr>
        <w:t xml:space="preserve"> </w:t>
      </w:r>
    </w:p>
    <w:p w14:paraId="15A44D74" w14:textId="77777777" w:rsidR="006157A7" w:rsidRDefault="006157A7" w:rsidP="006157A7">
      <w:pPr>
        <w:pStyle w:val="Prrafodelista"/>
        <w:jc w:val="both"/>
        <w:rPr>
          <w:rFonts w:ascii="Work Sans" w:hAnsi="Work Sans" w:cs="Arial"/>
          <w:sz w:val="20"/>
          <w:szCs w:val="20"/>
        </w:rPr>
      </w:pPr>
    </w:p>
    <w:p w14:paraId="3B5BCF7E" w14:textId="28CC8B96" w:rsidR="00346E45" w:rsidRDefault="00346E45" w:rsidP="006157A7">
      <w:pPr>
        <w:pStyle w:val="Prrafodelista"/>
        <w:jc w:val="both"/>
        <w:rPr>
          <w:rFonts w:ascii="Work Sans" w:hAnsi="Work Sans" w:cs="Arial"/>
          <w:sz w:val="20"/>
          <w:szCs w:val="20"/>
        </w:rPr>
      </w:pPr>
      <w:r w:rsidRPr="00346E45">
        <w:rPr>
          <w:rFonts w:ascii="Work Sans" w:hAnsi="Work Sans" w:cs="Arial"/>
          <w:sz w:val="20"/>
          <w:szCs w:val="20"/>
        </w:rPr>
        <w:t>Por consiguiente, el Ministerio de Minas y Energía, en su calidad de entidad del orden nacional, no se encuentra comprendido dentro del ámbito subjetivo de la norma, por lo que no le resulta aplicable la restricción prevista en dicha disposición</w:t>
      </w:r>
      <w:r w:rsidR="00B11D58">
        <w:rPr>
          <w:rFonts w:ascii="Work Sans" w:hAnsi="Work Sans" w:cs="Arial"/>
          <w:sz w:val="20"/>
          <w:szCs w:val="20"/>
        </w:rPr>
        <w:t xml:space="preserve">. </w:t>
      </w:r>
    </w:p>
    <w:p w14:paraId="2E4B567F" w14:textId="77777777" w:rsidR="006A358C" w:rsidRDefault="006A358C" w:rsidP="006157A7">
      <w:pPr>
        <w:pStyle w:val="Prrafodelista"/>
        <w:jc w:val="both"/>
        <w:rPr>
          <w:rFonts w:ascii="Work Sans" w:hAnsi="Work Sans" w:cs="Arial"/>
          <w:sz w:val="20"/>
          <w:szCs w:val="20"/>
        </w:rPr>
      </w:pPr>
    </w:p>
    <w:p w14:paraId="55887B19" w14:textId="5865FD0D" w:rsidR="006A358C" w:rsidRPr="006A358C" w:rsidRDefault="006A358C" w:rsidP="006A358C">
      <w:pPr>
        <w:pStyle w:val="Prrafodelista"/>
        <w:numPr>
          <w:ilvl w:val="0"/>
          <w:numId w:val="7"/>
        </w:numPr>
        <w:jc w:val="both"/>
        <w:rPr>
          <w:rFonts w:ascii="Work Sans" w:hAnsi="Work Sans" w:cs="Arial"/>
          <w:sz w:val="20"/>
          <w:szCs w:val="20"/>
        </w:rPr>
      </w:pPr>
      <w:r w:rsidRPr="006A358C">
        <w:rPr>
          <w:rFonts w:ascii="Work Sans" w:hAnsi="Work Sans" w:cs="Arial"/>
          <w:sz w:val="20"/>
          <w:szCs w:val="20"/>
        </w:rPr>
        <w:t>En lo que respecta a la naturaleza jurídica de los instrumentos derivados del Programa de Normalización de Redes Eléctricas – PRONE, regulado principalmente por la Ley 1117 de 2006, el Decreto 1073 de 2015 y la Resolución 40432 de 2025, se advierte que estos no configuran convenios interadministrativos, sino contratos celebrados en desarrollo de una convocatoria pública.</w:t>
      </w:r>
    </w:p>
    <w:p w14:paraId="4A1AE3B1" w14:textId="77777777" w:rsidR="006A358C" w:rsidRPr="006A358C" w:rsidRDefault="006A358C" w:rsidP="006A358C">
      <w:pPr>
        <w:pStyle w:val="Prrafodelista"/>
        <w:jc w:val="both"/>
        <w:rPr>
          <w:rFonts w:ascii="Work Sans" w:hAnsi="Work Sans" w:cs="Arial"/>
          <w:sz w:val="20"/>
          <w:szCs w:val="20"/>
        </w:rPr>
      </w:pPr>
    </w:p>
    <w:p w14:paraId="6FE74B11" w14:textId="3FB247FD" w:rsidR="006A358C" w:rsidRPr="006A358C" w:rsidRDefault="006A358C" w:rsidP="006A358C">
      <w:pPr>
        <w:pStyle w:val="Prrafodelista"/>
        <w:jc w:val="both"/>
        <w:rPr>
          <w:rFonts w:ascii="Work Sans" w:hAnsi="Work Sans" w:cs="Arial"/>
          <w:sz w:val="20"/>
          <w:szCs w:val="20"/>
        </w:rPr>
      </w:pPr>
      <w:r w:rsidRPr="006A358C">
        <w:rPr>
          <w:rFonts w:ascii="Work Sans" w:hAnsi="Work Sans" w:cs="Arial"/>
          <w:sz w:val="20"/>
          <w:szCs w:val="20"/>
        </w:rPr>
        <w:t xml:space="preserve">Dichos instrumentos no tienen por objeto la ejecución conjunta de competencias entre entidades estatales, sino la asignación y ejecución de recursos nacionales para financiar </w:t>
      </w:r>
      <w:r w:rsidRPr="006A358C">
        <w:rPr>
          <w:rFonts w:ascii="Work Sans" w:hAnsi="Work Sans" w:cs="Arial"/>
          <w:sz w:val="20"/>
          <w:szCs w:val="20"/>
        </w:rPr>
        <w:lastRenderedPageBreak/>
        <w:t>proyectos de normalización eléctrica presentados por los Operadores de Red, sean públicos, mixtos o privados. En consecuencia, no se enmarcan dentro de la tipología contractual restringida por el parágrafo del artículo 38 de la Ley 996 de 2005, y, por tanto, no están sujetos a la prohibición allí prevista.</w:t>
      </w:r>
    </w:p>
    <w:p w14:paraId="52B4CCC9" w14:textId="0AFC8A77" w:rsidR="006A358C" w:rsidRPr="00346E45" w:rsidRDefault="006A358C" w:rsidP="006A358C">
      <w:pPr>
        <w:pStyle w:val="Prrafodelista"/>
        <w:jc w:val="both"/>
        <w:rPr>
          <w:rFonts w:ascii="Work Sans" w:hAnsi="Work Sans" w:cs="Arial"/>
          <w:sz w:val="20"/>
          <w:szCs w:val="20"/>
        </w:rPr>
      </w:pPr>
    </w:p>
    <w:p w14:paraId="03613DE6" w14:textId="77777777" w:rsidR="00FA23C7" w:rsidRPr="0005563A" w:rsidRDefault="00FA23C7" w:rsidP="0005563A">
      <w:pPr>
        <w:rPr>
          <w:rFonts w:ascii="Work Sans" w:hAnsi="Work Sans" w:cs="Arial"/>
          <w:sz w:val="20"/>
          <w:szCs w:val="20"/>
        </w:rPr>
      </w:pPr>
    </w:p>
    <w:p w14:paraId="04A0B8A1" w14:textId="77777777" w:rsidR="002B541A" w:rsidRPr="002B541A" w:rsidRDefault="002B541A" w:rsidP="002B541A">
      <w:pPr>
        <w:pStyle w:val="Prrafodelista"/>
        <w:numPr>
          <w:ilvl w:val="1"/>
          <w:numId w:val="4"/>
        </w:numPr>
        <w:rPr>
          <w:rFonts w:ascii="Work Sans" w:hAnsi="Work Sans" w:cs="Arial"/>
          <w:sz w:val="20"/>
          <w:szCs w:val="20"/>
        </w:rPr>
      </w:pPr>
      <w:r w:rsidRPr="002B541A">
        <w:rPr>
          <w:rFonts w:ascii="Work Sans" w:hAnsi="Work Sans" w:cs="Arial"/>
          <w:sz w:val="20"/>
          <w:szCs w:val="20"/>
        </w:rPr>
        <w:t>Fechas de inicio de las restricciones previstas en los artículos 33 y 38 de la Ley 996 de 2005</w:t>
      </w:r>
    </w:p>
    <w:p w14:paraId="47175F1D" w14:textId="77777777" w:rsidR="002B541A" w:rsidRDefault="002B541A" w:rsidP="00A674DD">
      <w:pPr>
        <w:spacing w:before="100" w:beforeAutospacing="1" w:after="100" w:afterAutospacing="1"/>
        <w:jc w:val="both"/>
        <w:outlineLvl w:val="2"/>
        <w:rPr>
          <w:rFonts w:ascii="Work Sans" w:hAnsi="Work Sans" w:cs="Arial"/>
          <w:sz w:val="20"/>
          <w:szCs w:val="20"/>
        </w:rPr>
      </w:pPr>
      <w:r w:rsidRPr="002B541A">
        <w:rPr>
          <w:rFonts w:ascii="Work Sans" w:hAnsi="Work Sans" w:cs="Arial"/>
          <w:sz w:val="20"/>
          <w:szCs w:val="20"/>
        </w:rPr>
        <w:t xml:space="preserve">En el </w:t>
      </w:r>
      <w:r>
        <w:rPr>
          <w:rFonts w:ascii="Work Sans" w:hAnsi="Work Sans" w:cs="Arial"/>
          <w:sz w:val="20"/>
          <w:szCs w:val="20"/>
        </w:rPr>
        <w:t>supuesto</w:t>
      </w:r>
      <w:r w:rsidRPr="002B541A">
        <w:rPr>
          <w:rFonts w:ascii="Work Sans" w:hAnsi="Work Sans" w:cs="Arial"/>
          <w:sz w:val="20"/>
          <w:szCs w:val="20"/>
        </w:rPr>
        <w:t xml:space="preserve"> del artículo 33 de la Ley 996 de 2005, la restricción a la contratación directa por parte de las entidades estatales rige durante los cuatro (4) meses anteriores a la elección presidencial y hasta la segunda vuelta, si la hubiere. </w:t>
      </w:r>
    </w:p>
    <w:p w14:paraId="6AFBC3B1" w14:textId="0A4C027A" w:rsidR="002B541A" w:rsidRPr="008C4652" w:rsidRDefault="002B541A" w:rsidP="008C4652">
      <w:pPr>
        <w:spacing w:before="100" w:beforeAutospacing="1" w:after="100" w:afterAutospacing="1"/>
        <w:jc w:val="both"/>
        <w:outlineLvl w:val="2"/>
        <w:rPr>
          <w:rFonts w:ascii="Work Sans" w:hAnsi="Work Sans" w:cs="Arial"/>
          <w:sz w:val="20"/>
          <w:szCs w:val="20"/>
        </w:rPr>
      </w:pPr>
      <w:r w:rsidRPr="002B541A">
        <w:rPr>
          <w:rFonts w:ascii="Work Sans" w:hAnsi="Work Sans" w:cs="Arial"/>
          <w:sz w:val="20"/>
          <w:szCs w:val="20"/>
        </w:rPr>
        <w:t>Considerando el calendario electoral fijado por la Registraduría Nacional del Estado Civil</w:t>
      </w:r>
      <w:r>
        <w:rPr>
          <w:rFonts w:ascii="Work Sans" w:hAnsi="Work Sans" w:cs="Arial"/>
          <w:sz w:val="20"/>
          <w:szCs w:val="20"/>
        </w:rPr>
        <w:t xml:space="preserve"> en la Resolución 2580 de marzo de 2025</w:t>
      </w:r>
      <w:r w:rsidRPr="002B541A">
        <w:rPr>
          <w:rFonts w:ascii="Work Sans" w:hAnsi="Work Sans" w:cs="Arial"/>
          <w:sz w:val="20"/>
          <w:szCs w:val="20"/>
        </w:rPr>
        <w:t xml:space="preserve">, para el proceso electoral presidencial de 2026, el período de aplicación de esta prohibición comprenderá desde el </w:t>
      </w:r>
      <w:r>
        <w:rPr>
          <w:rFonts w:ascii="Work Sans" w:hAnsi="Work Sans" w:cs="Arial"/>
          <w:sz w:val="20"/>
          <w:szCs w:val="20"/>
        </w:rPr>
        <w:t>31</w:t>
      </w:r>
      <w:r w:rsidRPr="002B541A">
        <w:rPr>
          <w:rFonts w:ascii="Work Sans" w:hAnsi="Work Sans" w:cs="Arial"/>
          <w:sz w:val="20"/>
          <w:szCs w:val="20"/>
        </w:rPr>
        <w:t xml:space="preserve"> de enero hasta el </w:t>
      </w:r>
      <w:r>
        <w:rPr>
          <w:rFonts w:ascii="Work Sans" w:hAnsi="Work Sans" w:cs="Arial"/>
          <w:sz w:val="20"/>
          <w:szCs w:val="20"/>
        </w:rPr>
        <w:t>31</w:t>
      </w:r>
      <w:r w:rsidRPr="002B541A">
        <w:rPr>
          <w:rFonts w:ascii="Work Sans" w:hAnsi="Work Sans" w:cs="Arial"/>
          <w:sz w:val="20"/>
          <w:szCs w:val="20"/>
        </w:rPr>
        <w:t xml:space="preserve"> de mayo de 2026</w:t>
      </w:r>
      <w:r>
        <w:rPr>
          <w:rFonts w:ascii="Work Sans" w:hAnsi="Work Sans" w:cs="Arial"/>
          <w:sz w:val="20"/>
          <w:szCs w:val="20"/>
        </w:rPr>
        <w:t>. En caso de haber segunda vuelta</w:t>
      </w:r>
      <w:r w:rsidR="008C4652">
        <w:rPr>
          <w:rFonts w:ascii="Work Sans" w:hAnsi="Work Sans" w:cs="Arial"/>
          <w:sz w:val="20"/>
          <w:szCs w:val="20"/>
        </w:rPr>
        <w:t xml:space="preserve"> lo será hasta el día siguiente después de efectuada la votación.</w:t>
      </w:r>
      <w:r w:rsidRPr="002B541A">
        <w:rPr>
          <w:rFonts w:ascii="Work Sans" w:hAnsi="Work Sans" w:cs="Arial"/>
          <w:sz w:val="20"/>
          <w:szCs w:val="20"/>
        </w:rPr>
        <w:t xml:space="preserve"> Durante este lapso, las entidades del orden nacional deberán abstenerse de celebrar contratos bajo la modalidad de contratación directa, salvo las excepciones taxativamente señaladas en la norma (defensa y seguridad del Estado, crédito público, emergencias, entre otras).</w:t>
      </w:r>
    </w:p>
    <w:p w14:paraId="11691432" w14:textId="76C3171B" w:rsidR="008C4652" w:rsidRDefault="002B541A" w:rsidP="008C4652">
      <w:pPr>
        <w:spacing w:before="100" w:beforeAutospacing="1" w:after="100" w:afterAutospacing="1"/>
        <w:jc w:val="both"/>
        <w:outlineLvl w:val="2"/>
        <w:rPr>
          <w:rFonts w:ascii="Work Sans" w:hAnsi="Work Sans" w:cs="Arial"/>
          <w:sz w:val="20"/>
          <w:szCs w:val="20"/>
        </w:rPr>
      </w:pPr>
      <w:r w:rsidRPr="008C4652">
        <w:rPr>
          <w:rFonts w:ascii="Work Sans" w:hAnsi="Work Sans" w:cs="Arial"/>
          <w:sz w:val="20"/>
          <w:szCs w:val="20"/>
        </w:rPr>
        <w:t xml:space="preserve">Por su parte, la restricción contemplada en el parágrafo del artículo 38 tiene un ámbito temporal distinto, pues se aplica durante los cuatro (4) meses anteriores a cualquier elección de cargos de elección popular, sin limitarse al proceso presidencial. En consecuencia, su aplicación depende del calendario electoral correspondiente a las elecciones. Así, para las elecciones </w:t>
      </w:r>
      <w:r w:rsidR="008C4652">
        <w:rPr>
          <w:rFonts w:ascii="Work Sans" w:hAnsi="Work Sans" w:cs="Arial"/>
          <w:sz w:val="20"/>
          <w:szCs w:val="20"/>
        </w:rPr>
        <w:t xml:space="preserve">legislativas del 2026, las mismas se tienen como fecha el 8 de marzo de 2026, según resolución 2581 de 2025 de la Registraduría Nacional del Estado Civil, entonces </w:t>
      </w:r>
      <w:r w:rsidRPr="008C4652">
        <w:rPr>
          <w:rFonts w:ascii="Work Sans" w:hAnsi="Work Sans" w:cs="Arial"/>
          <w:sz w:val="20"/>
          <w:szCs w:val="20"/>
        </w:rPr>
        <w:t xml:space="preserve">la prohibición iniciará </w:t>
      </w:r>
      <w:r w:rsidR="008C4652">
        <w:rPr>
          <w:rFonts w:ascii="Work Sans" w:hAnsi="Work Sans" w:cs="Arial"/>
          <w:sz w:val="20"/>
          <w:szCs w:val="20"/>
        </w:rPr>
        <w:t>el 8 de noviembre de 2025, por lo cual, esta prohibición ya comenzó a aplicarse para las Alcaldías, Gobernaciones, Distritos y para las entidades descentralizadas de este mismo orden.</w:t>
      </w:r>
    </w:p>
    <w:p w14:paraId="4211BF7B" w14:textId="1D33CEF6" w:rsidR="000242FD" w:rsidRDefault="000242FD" w:rsidP="008C4652">
      <w:pPr>
        <w:spacing w:before="100" w:beforeAutospacing="1" w:after="100" w:afterAutospacing="1"/>
        <w:jc w:val="both"/>
        <w:outlineLvl w:val="2"/>
        <w:rPr>
          <w:rFonts w:ascii="Work Sans" w:hAnsi="Work Sans" w:cs="Arial"/>
          <w:sz w:val="20"/>
          <w:szCs w:val="20"/>
        </w:rPr>
      </w:pPr>
    </w:p>
    <w:p w14:paraId="36F05A5D" w14:textId="1FC63853" w:rsidR="0046529F" w:rsidRPr="000242FD" w:rsidRDefault="000242FD" w:rsidP="000242FD">
      <w:pPr>
        <w:pStyle w:val="Prrafodelista"/>
        <w:numPr>
          <w:ilvl w:val="1"/>
          <w:numId w:val="4"/>
        </w:numPr>
        <w:spacing w:before="100" w:beforeAutospacing="1" w:after="100" w:afterAutospacing="1"/>
        <w:outlineLvl w:val="2"/>
        <w:rPr>
          <w:rFonts w:ascii="Work Sans" w:hAnsi="Work Sans" w:cs="Arial"/>
          <w:sz w:val="20"/>
          <w:szCs w:val="20"/>
        </w:rPr>
      </w:pPr>
      <w:r w:rsidRPr="000242FD">
        <w:rPr>
          <w:rFonts w:ascii="Work Sans" w:hAnsi="Work Sans" w:cs="Arial"/>
          <w:sz w:val="20"/>
          <w:szCs w:val="20"/>
        </w:rPr>
        <w:t xml:space="preserve">Caso 1 – Operador de Red de carácter privado </w:t>
      </w:r>
    </w:p>
    <w:p w14:paraId="32F3B37B" w14:textId="0CD6E2F2" w:rsidR="008516A9" w:rsidRDefault="008516A9" w:rsidP="00AA1DFD">
      <w:pPr>
        <w:spacing w:before="100" w:beforeAutospacing="1" w:after="100" w:afterAutospacing="1"/>
        <w:jc w:val="both"/>
        <w:rPr>
          <w:rFonts w:ascii="Work Sans" w:hAnsi="Work Sans" w:cs="Arial"/>
          <w:sz w:val="20"/>
          <w:szCs w:val="20"/>
        </w:rPr>
      </w:pPr>
      <w:r w:rsidRPr="008516A9">
        <w:rPr>
          <w:rFonts w:ascii="Work Sans" w:hAnsi="Work Sans" w:cs="Arial"/>
          <w:sz w:val="20"/>
          <w:szCs w:val="20"/>
        </w:rPr>
        <w:t>Si bien en el memorando objeto de la consulta se menciona el nombre de un operador privado, este Grupo se abstiene de emitir pronunciamiento sobre dicho caso en particular, toda vez que las solicitudes de concepto deben referirse a la aplicación general de las normas en materia de contratación pública, y no a situaciones o contratos específicos. Lo anterior</w:t>
      </w:r>
      <w:r>
        <w:rPr>
          <w:rFonts w:ascii="Work Sans" w:hAnsi="Work Sans" w:cs="Arial"/>
          <w:sz w:val="20"/>
          <w:szCs w:val="20"/>
        </w:rPr>
        <w:t>,</w:t>
      </w:r>
      <w:r w:rsidRPr="008516A9">
        <w:rPr>
          <w:rFonts w:ascii="Work Sans" w:hAnsi="Work Sans" w:cs="Arial"/>
          <w:sz w:val="20"/>
          <w:szCs w:val="20"/>
        </w:rPr>
        <w:t xml:space="preserve"> cobra especial relevancia cuando no se cuenta con documentación que permita verificar la naturaleza jurídica de la persona o entidad involucrada, razón por la cual el presente concepto se limita al análisis normativo y doctrinal aplicable de manera general.</w:t>
      </w:r>
    </w:p>
    <w:p w14:paraId="41E827D1" w14:textId="39B41F50" w:rsidR="00A32223" w:rsidRPr="00A32223" w:rsidRDefault="00A32223" w:rsidP="00A32223">
      <w:pPr>
        <w:pStyle w:val="Prrafodelista"/>
        <w:numPr>
          <w:ilvl w:val="0"/>
          <w:numId w:val="5"/>
        </w:numPr>
        <w:spacing w:before="100" w:beforeAutospacing="1" w:after="100" w:afterAutospacing="1"/>
        <w:jc w:val="both"/>
        <w:rPr>
          <w:rFonts w:ascii="Work Sans" w:hAnsi="Work Sans" w:cs="Arial"/>
          <w:sz w:val="20"/>
          <w:szCs w:val="20"/>
        </w:rPr>
      </w:pPr>
      <w:r w:rsidRPr="00A32223">
        <w:rPr>
          <w:rFonts w:ascii="Work Sans" w:hAnsi="Work Sans" w:cs="Arial"/>
          <w:sz w:val="20"/>
          <w:szCs w:val="20"/>
        </w:rPr>
        <w:t>Aplicación del artículo 33 de la Ley 996 de 2005 en contratos</w:t>
      </w:r>
      <w:r w:rsidR="00416826">
        <w:rPr>
          <w:rFonts w:ascii="Work Sans" w:hAnsi="Work Sans" w:cs="Arial"/>
          <w:sz w:val="20"/>
          <w:szCs w:val="20"/>
        </w:rPr>
        <w:t xml:space="preserve"> celebrados por el MME</w:t>
      </w:r>
      <w:r w:rsidRPr="00A32223">
        <w:rPr>
          <w:rFonts w:ascii="Work Sans" w:hAnsi="Work Sans" w:cs="Arial"/>
          <w:sz w:val="20"/>
          <w:szCs w:val="20"/>
        </w:rPr>
        <w:t xml:space="preserve"> en los que </w:t>
      </w:r>
      <w:r w:rsidR="00416826">
        <w:rPr>
          <w:rFonts w:ascii="Work Sans" w:hAnsi="Work Sans" w:cs="Arial"/>
          <w:sz w:val="20"/>
          <w:szCs w:val="20"/>
        </w:rPr>
        <w:t>la otra parte</w:t>
      </w:r>
      <w:r w:rsidRPr="00A32223">
        <w:rPr>
          <w:rFonts w:ascii="Work Sans" w:hAnsi="Work Sans" w:cs="Arial"/>
          <w:sz w:val="20"/>
          <w:szCs w:val="20"/>
        </w:rPr>
        <w:t xml:space="preserve"> tiene naturaleza jurídica privada:</w:t>
      </w:r>
    </w:p>
    <w:p w14:paraId="024C4922" w14:textId="77777777" w:rsidR="00A32223" w:rsidRPr="00A32223" w:rsidRDefault="00A32223" w:rsidP="00A32223">
      <w:pPr>
        <w:spacing w:before="100" w:beforeAutospacing="1" w:after="100" w:afterAutospacing="1"/>
        <w:jc w:val="both"/>
        <w:rPr>
          <w:rFonts w:ascii="Work Sans" w:hAnsi="Work Sans" w:cs="Arial"/>
          <w:sz w:val="20"/>
          <w:szCs w:val="20"/>
        </w:rPr>
      </w:pPr>
      <w:r w:rsidRPr="00A32223">
        <w:rPr>
          <w:rFonts w:ascii="Work Sans" w:hAnsi="Work Sans" w:cs="Arial"/>
          <w:sz w:val="20"/>
          <w:szCs w:val="20"/>
        </w:rPr>
        <w:lastRenderedPageBreak/>
        <w:t>En este escenario, al ser el Ministerio de Minas y Energía la entidad contratante dentro del Programa de Normalización de Redes Eléctricas – PRONE, se configura el supuesto de aplicación del artículo 33 de la Ley 996 de 2005, por razón del sujeto, dado que dicha disposición vincula a todas las entidades estatales del orden nacional, departamental, distrital y municipal.</w:t>
      </w:r>
    </w:p>
    <w:p w14:paraId="5A374FD0" w14:textId="77777777" w:rsidR="00416826" w:rsidRDefault="00A32223" w:rsidP="00A32223">
      <w:pPr>
        <w:spacing w:before="100" w:beforeAutospacing="1" w:after="100" w:afterAutospacing="1"/>
        <w:jc w:val="both"/>
        <w:rPr>
          <w:rFonts w:ascii="Work Sans" w:hAnsi="Work Sans" w:cs="Arial"/>
          <w:sz w:val="20"/>
          <w:szCs w:val="20"/>
        </w:rPr>
      </w:pPr>
      <w:r w:rsidRPr="00A32223">
        <w:rPr>
          <w:rFonts w:ascii="Work Sans" w:hAnsi="Work Sans" w:cs="Arial"/>
          <w:sz w:val="20"/>
          <w:szCs w:val="20"/>
        </w:rPr>
        <w:t xml:space="preserve">Aunque los procesos PRONE se desarrollan mediante convocatorias públicas, la estructura operativa del programa </w:t>
      </w:r>
      <w:r w:rsidR="00416826">
        <w:rPr>
          <w:rFonts w:ascii="Work Sans" w:hAnsi="Work Sans" w:cs="Arial"/>
          <w:sz w:val="20"/>
          <w:szCs w:val="20"/>
        </w:rPr>
        <w:t>(</w:t>
      </w:r>
      <w:r w:rsidRPr="00A32223">
        <w:rPr>
          <w:rFonts w:ascii="Work Sans" w:hAnsi="Work Sans" w:cs="Arial"/>
          <w:sz w:val="20"/>
          <w:szCs w:val="20"/>
        </w:rPr>
        <w:t>en la que cada Operador de Red (OR) presenta proyectos dentro de su zona exclusiva de influencia</w:t>
      </w:r>
      <w:r w:rsidR="00416826">
        <w:rPr>
          <w:rFonts w:ascii="Work Sans" w:hAnsi="Work Sans" w:cs="Arial"/>
          <w:sz w:val="20"/>
          <w:szCs w:val="20"/>
        </w:rPr>
        <w:t xml:space="preserve">) </w:t>
      </w:r>
      <w:r w:rsidRPr="00A32223">
        <w:rPr>
          <w:rFonts w:ascii="Work Sans" w:hAnsi="Work Sans" w:cs="Arial"/>
          <w:sz w:val="20"/>
          <w:szCs w:val="20"/>
        </w:rPr>
        <w:t xml:space="preserve"> impide la existencia de pluralidad real de oferentes frente a una misma necesidad, lo que lleva a que, desde una perspectiva material, se asimile a una modalidad de contratación directa</w:t>
      </w:r>
      <w:r w:rsidR="00416826">
        <w:rPr>
          <w:rFonts w:ascii="Work Sans" w:hAnsi="Work Sans" w:cs="Arial"/>
          <w:sz w:val="20"/>
          <w:szCs w:val="20"/>
        </w:rPr>
        <w:t xml:space="preserve"> según lo conceptuado por el Consejo de Estado y explicado con suficiencia en líneas atrás</w:t>
      </w:r>
      <w:r w:rsidRPr="00A32223">
        <w:rPr>
          <w:rFonts w:ascii="Work Sans" w:hAnsi="Work Sans" w:cs="Arial"/>
          <w:sz w:val="20"/>
          <w:szCs w:val="20"/>
        </w:rPr>
        <w:t xml:space="preserve">. </w:t>
      </w:r>
    </w:p>
    <w:p w14:paraId="137BBB8E" w14:textId="62B378E8" w:rsidR="008516A9" w:rsidRDefault="00A32223" w:rsidP="00A32223">
      <w:pPr>
        <w:spacing w:before="100" w:beforeAutospacing="1" w:after="100" w:afterAutospacing="1"/>
        <w:jc w:val="both"/>
        <w:rPr>
          <w:rFonts w:ascii="Work Sans" w:hAnsi="Work Sans" w:cs="Arial"/>
          <w:sz w:val="20"/>
          <w:szCs w:val="20"/>
        </w:rPr>
      </w:pPr>
      <w:r w:rsidRPr="00A32223">
        <w:rPr>
          <w:rFonts w:ascii="Work Sans" w:hAnsi="Work Sans" w:cs="Arial"/>
          <w:sz w:val="20"/>
          <w:szCs w:val="20"/>
        </w:rPr>
        <w:t xml:space="preserve">En consecuencia, los contratos de financiación que se celebren en el marco del PRONE están sujetos a las restricciones temporales del artículo 33, esto es, no podrán suscribirse durante los cuatro (4) meses anteriores a la elección presidencial, </w:t>
      </w:r>
      <w:r w:rsidR="00416826">
        <w:rPr>
          <w:rFonts w:ascii="Work Sans" w:hAnsi="Work Sans" w:cs="Arial"/>
          <w:sz w:val="20"/>
          <w:szCs w:val="20"/>
        </w:rPr>
        <w:t xml:space="preserve">esto es, la limitante para suscribirlos comienza a regir </w:t>
      </w:r>
      <w:r w:rsidR="0094424E">
        <w:rPr>
          <w:rFonts w:ascii="Work Sans" w:hAnsi="Work Sans" w:cs="Arial"/>
          <w:sz w:val="20"/>
          <w:szCs w:val="20"/>
        </w:rPr>
        <w:t>desde</w:t>
      </w:r>
      <w:r w:rsidR="00416826">
        <w:rPr>
          <w:rFonts w:ascii="Work Sans" w:hAnsi="Work Sans" w:cs="Arial"/>
          <w:sz w:val="20"/>
          <w:szCs w:val="20"/>
        </w:rPr>
        <w:t xml:space="preserve"> del </w:t>
      </w:r>
      <w:r w:rsidR="0094424E">
        <w:rPr>
          <w:rFonts w:ascii="Work Sans" w:hAnsi="Work Sans" w:cs="Arial"/>
          <w:sz w:val="20"/>
          <w:szCs w:val="20"/>
        </w:rPr>
        <w:t>1</w:t>
      </w:r>
      <w:r w:rsidR="00416826">
        <w:rPr>
          <w:rFonts w:ascii="Work Sans" w:hAnsi="Work Sans" w:cs="Arial"/>
          <w:sz w:val="20"/>
          <w:szCs w:val="20"/>
        </w:rPr>
        <w:t xml:space="preserve"> de </w:t>
      </w:r>
      <w:r w:rsidR="0094424E">
        <w:rPr>
          <w:rFonts w:ascii="Work Sans" w:hAnsi="Work Sans" w:cs="Arial"/>
          <w:sz w:val="20"/>
          <w:szCs w:val="20"/>
        </w:rPr>
        <w:t>febrero</w:t>
      </w:r>
      <w:r w:rsidR="00416826">
        <w:rPr>
          <w:rFonts w:ascii="Work Sans" w:hAnsi="Work Sans" w:cs="Arial"/>
          <w:sz w:val="20"/>
          <w:szCs w:val="20"/>
        </w:rPr>
        <w:t xml:space="preserve"> de 202</w:t>
      </w:r>
      <w:r w:rsidR="0094424E">
        <w:rPr>
          <w:rFonts w:ascii="Work Sans" w:hAnsi="Work Sans" w:cs="Arial"/>
          <w:sz w:val="20"/>
          <w:szCs w:val="20"/>
        </w:rPr>
        <w:t>6</w:t>
      </w:r>
      <w:r w:rsidR="00416826">
        <w:rPr>
          <w:rFonts w:ascii="Work Sans" w:hAnsi="Work Sans" w:cs="Arial"/>
          <w:sz w:val="20"/>
          <w:szCs w:val="20"/>
        </w:rPr>
        <w:t xml:space="preserve">. </w:t>
      </w:r>
    </w:p>
    <w:p w14:paraId="6B7D120E" w14:textId="7C0E078E" w:rsidR="0094424E" w:rsidRPr="0094424E" w:rsidRDefault="0094424E" w:rsidP="0094424E">
      <w:pPr>
        <w:pStyle w:val="p1"/>
        <w:numPr>
          <w:ilvl w:val="0"/>
          <w:numId w:val="5"/>
        </w:numPr>
        <w:rPr>
          <w:rFonts w:ascii="Work Sans" w:hAnsi="Work Sans" w:cs="Arial"/>
          <w:sz w:val="20"/>
          <w:szCs w:val="20"/>
        </w:rPr>
      </w:pPr>
      <w:r w:rsidRPr="0094424E">
        <w:rPr>
          <w:rFonts w:ascii="Work Sans" w:hAnsi="Work Sans" w:cs="Arial"/>
          <w:sz w:val="20"/>
          <w:szCs w:val="20"/>
        </w:rPr>
        <w:t>Aplicación del parágrafo del artículo 38 de la Ley 996 de 2005</w:t>
      </w:r>
    </w:p>
    <w:p w14:paraId="382A9714" w14:textId="77777777" w:rsidR="0094424E" w:rsidRDefault="0094424E" w:rsidP="0094424E">
      <w:pPr>
        <w:rPr>
          <w:rFonts w:ascii="Work Sans" w:hAnsi="Work Sans" w:cs="Arial"/>
          <w:sz w:val="20"/>
          <w:szCs w:val="20"/>
        </w:rPr>
      </w:pPr>
      <w:r w:rsidRPr="0094424E">
        <w:rPr>
          <w:rFonts w:ascii="Work Sans" w:hAnsi="Work Sans" w:cs="Arial"/>
          <w:sz w:val="20"/>
          <w:szCs w:val="20"/>
        </w:rPr>
        <w:t>Por otra parte, la restricción contenida en el parágrafo del artículo 38 no resulta aplicable a este caso, en tanto la norma se limita a los gobernadores, alcaldes, secretarios, gerentes y directores de entidades descentralizadas del orden territorial.</w:t>
      </w:r>
    </w:p>
    <w:p w14:paraId="04D6897C" w14:textId="77777777" w:rsidR="0094424E" w:rsidRPr="0094424E" w:rsidRDefault="0094424E" w:rsidP="0094424E">
      <w:pPr>
        <w:rPr>
          <w:rFonts w:ascii="Work Sans" w:hAnsi="Work Sans" w:cs="Arial"/>
          <w:sz w:val="20"/>
          <w:szCs w:val="20"/>
        </w:rPr>
      </w:pPr>
    </w:p>
    <w:p w14:paraId="54F2AB90" w14:textId="38DDD0B0" w:rsidR="0094424E" w:rsidRPr="0094424E" w:rsidRDefault="0094424E" w:rsidP="0094424E">
      <w:pPr>
        <w:jc w:val="both"/>
        <w:rPr>
          <w:rFonts w:ascii="Work Sans" w:hAnsi="Work Sans" w:cs="Arial"/>
          <w:sz w:val="20"/>
          <w:szCs w:val="20"/>
        </w:rPr>
      </w:pPr>
      <w:r w:rsidRPr="0094424E">
        <w:rPr>
          <w:rFonts w:ascii="Work Sans" w:hAnsi="Work Sans" w:cs="Arial"/>
          <w:sz w:val="20"/>
          <w:szCs w:val="20"/>
        </w:rPr>
        <w:t>En el presente caso, el operador AIR-E es una empresa de carácter privado, y el Ministerio de Minas y Energía es una entidad del orden nacional, por lo cual ninguno de los dos sujetos intervinientes se encuentra comprendido dentro del ámbito subjetivo ni territorial previsto en dicha disposición. En consecuencia, los contratos PRONE suscritos con operadores privados no se ven afectados por la prohibición del parágrafo del artículo 38, aunque sí deben observar las limitaciones generales del artículo 33 durante el periodo preelectoral.</w:t>
      </w:r>
    </w:p>
    <w:p w14:paraId="13B4D08A" w14:textId="53D5918D" w:rsidR="0094424E" w:rsidRPr="0094424E" w:rsidRDefault="0094424E" w:rsidP="0094424E">
      <w:pPr>
        <w:spacing w:before="100" w:beforeAutospacing="1" w:after="100" w:afterAutospacing="1"/>
        <w:jc w:val="both"/>
        <w:rPr>
          <w:rFonts w:ascii="Work Sans" w:hAnsi="Work Sans" w:cs="Arial"/>
          <w:sz w:val="20"/>
          <w:szCs w:val="20"/>
        </w:rPr>
      </w:pPr>
    </w:p>
    <w:p w14:paraId="252B6EE1" w14:textId="7F560FBA" w:rsidR="00C31BC4" w:rsidRPr="00C31BC4" w:rsidRDefault="00C31BC4" w:rsidP="00C31BC4">
      <w:pPr>
        <w:pStyle w:val="Prrafodelista"/>
        <w:numPr>
          <w:ilvl w:val="1"/>
          <w:numId w:val="4"/>
        </w:numPr>
        <w:spacing w:before="100" w:beforeAutospacing="1" w:after="100" w:afterAutospacing="1"/>
        <w:outlineLvl w:val="2"/>
        <w:rPr>
          <w:rFonts w:ascii="Work Sans" w:hAnsi="Work Sans" w:cs="Arial"/>
          <w:sz w:val="20"/>
          <w:szCs w:val="20"/>
        </w:rPr>
      </w:pPr>
      <w:r w:rsidRPr="00C31BC4">
        <w:rPr>
          <w:rFonts w:ascii="Work Sans" w:hAnsi="Work Sans" w:cs="Arial"/>
          <w:sz w:val="20"/>
          <w:szCs w:val="20"/>
        </w:rPr>
        <w:t xml:space="preserve">Caso </w:t>
      </w:r>
      <w:r>
        <w:rPr>
          <w:rFonts w:ascii="Work Sans" w:hAnsi="Work Sans" w:cs="Arial"/>
          <w:sz w:val="20"/>
          <w:szCs w:val="20"/>
        </w:rPr>
        <w:t>2</w:t>
      </w:r>
      <w:r w:rsidRPr="00C31BC4">
        <w:rPr>
          <w:rFonts w:ascii="Work Sans" w:hAnsi="Work Sans" w:cs="Arial"/>
          <w:sz w:val="20"/>
          <w:szCs w:val="20"/>
        </w:rPr>
        <w:t xml:space="preserve">– Operador de Red de carácter </w:t>
      </w:r>
      <w:r>
        <w:rPr>
          <w:rFonts w:ascii="Work Sans" w:hAnsi="Work Sans" w:cs="Arial"/>
          <w:sz w:val="20"/>
          <w:szCs w:val="20"/>
        </w:rPr>
        <w:t>mixto con participación estatal mayoritaria</w:t>
      </w:r>
      <w:r w:rsidRPr="00C31BC4">
        <w:rPr>
          <w:rFonts w:ascii="Work Sans" w:hAnsi="Work Sans" w:cs="Arial"/>
          <w:sz w:val="20"/>
          <w:szCs w:val="20"/>
        </w:rPr>
        <w:t xml:space="preserve"> </w:t>
      </w:r>
    </w:p>
    <w:p w14:paraId="0F8B390B" w14:textId="03CDD4C3" w:rsidR="00C31BC4" w:rsidRDefault="00C31BC4" w:rsidP="00C31BC4">
      <w:pPr>
        <w:jc w:val="both"/>
        <w:rPr>
          <w:b/>
          <w:bCs/>
        </w:rPr>
      </w:pPr>
      <w:r>
        <w:rPr>
          <w:rFonts w:ascii="Work Sans" w:eastAsiaTheme="minorHAnsi" w:hAnsi="Work Sans" w:cs="Arial"/>
          <w:sz w:val="20"/>
          <w:szCs w:val="20"/>
          <w:lang w:eastAsia="en-US"/>
        </w:rPr>
        <w:t>B</w:t>
      </w:r>
      <w:r w:rsidRPr="00C31BC4">
        <w:rPr>
          <w:rFonts w:ascii="Work Sans" w:eastAsiaTheme="minorHAnsi" w:hAnsi="Work Sans" w:cs="Arial"/>
          <w:sz w:val="20"/>
          <w:szCs w:val="20"/>
          <w:lang w:eastAsia="en-US"/>
        </w:rPr>
        <w:t>ajo el mismo entendido, esta dependencia no emitirá pronunciamiento respecto de un caso particular relacionado con un operador específico, sino que se limitará a analizar la naturaleza jurídica de la entidad estatal contratante y a exponer consideraciones bajo supuestos generales, toda vez que no se allegaron a esta dependencia documentos que permitan verificar la constitución y naturaleza jurídica de la empresa objeto de la consulta.</w:t>
      </w:r>
    </w:p>
    <w:p w14:paraId="18570272" w14:textId="77777777" w:rsidR="00C31BC4" w:rsidRDefault="00C31BC4" w:rsidP="00280B77">
      <w:pPr>
        <w:rPr>
          <w:b/>
          <w:bCs/>
        </w:rPr>
      </w:pPr>
    </w:p>
    <w:p w14:paraId="0341B24B" w14:textId="2B36DCD1" w:rsidR="00414827" w:rsidRDefault="00931F00" w:rsidP="00931F00">
      <w:pPr>
        <w:jc w:val="both"/>
        <w:rPr>
          <w:rFonts w:ascii="Work Sans" w:eastAsiaTheme="minorHAnsi" w:hAnsi="Work Sans" w:cs="Arial"/>
          <w:sz w:val="20"/>
          <w:szCs w:val="20"/>
          <w:lang w:eastAsia="en-US"/>
        </w:rPr>
      </w:pPr>
      <w:r w:rsidRPr="00931F00">
        <w:rPr>
          <w:rFonts w:ascii="Work Sans" w:eastAsiaTheme="minorHAnsi" w:hAnsi="Work Sans" w:cs="Arial"/>
          <w:sz w:val="20"/>
          <w:szCs w:val="20"/>
          <w:lang w:eastAsia="en-US"/>
        </w:rPr>
        <w:t>Sea lo primero advertir</w:t>
      </w:r>
      <w:r>
        <w:rPr>
          <w:rFonts w:ascii="Work Sans" w:eastAsiaTheme="minorHAnsi" w:hAnsi="Work Sans" w:cs="Arial"/>
          <w:sz w:val="20"/>
          <w:szCs w:val="20"/>
          <w:lang w:eastAsia="en-US"/>
        </w:rPr>
        <w:t>, que se partirá de la base que es empresa de servicios públicos con participación mayoritaria</w:t>
      </w:r>
      <w:r w:rsidRPr="00931F00">
        <w:rPr>
          <w:rFonts w:ascii="Work Sans" w:eastAsiaTheme="minorHAnsi" w:hAnsi="Work Sans" w:cs="Arial"/>
          <w:sz w:val="20"/>
          <w:szCs w:val="20"/>
          <w:lang w:eastAsia="en-US"/>
        </w:rPr>
        <w:t xml:space="preserve"> </w:t>
      </w:r>
      <w:r>
        <w:rPr>
          <w:rFonts w:ascii="Work Sans" w:eastAsiaTheme="minorHAnsi" w:hAnsi="Work Sans" w:cs="Arial"/>
          <w:sz w:val="20"/>
          <w:szCs w:val="20"/>
          <w:lang w:eastAsia="en-US"/>
        </w:rPr>
        <w:t xml:space="preserve">estatal. La Ley 142 de 1993 en su artículo 14, define a la empresa de </w:t>
      </w:r>
      <w:r>
        <w:rPr>
          <w:rFonts w:ascii="Work Sans" w:eastAsiaTheme="minorHAnsi" w:hAnsi="Work Sans" w:cs="Arial"/>
          <w:sz w:val="20"/>
          <w:szCs w:val="20"/>
          <w:lang w:eastAsia="en-US"/>
        </w:rPr>
        <w:lastRenderedPageBreak/>
        <w:t xml:space="preserve">servicios públicos mixta, como «(…) </w:t>
      </w:r>
      <w:r w:rsidR="00414827" w:rsidRPr="00931F00">
        <w:rPr>
          <w:rFonts w:ascii="Work Sans" w:eastAsiaTheme="minorHAnsi" w:hAnsi="Work Sans" w:cs="Arial"/>
          <w:sz w:val="20"/>
          <w:szCs w:val="20"/>
          <w:lang w:eastAsia="en-US"/>
        </w:rPr>
        <w:t>aquella en cuyo capital la Nación, las entidades territoriales, o las entidades descentralizadas de aquella o éstas tienen aportes iguales o superiores al 50%</w:t>
      </w:r>
      <w:r>
        <w:rPr>
          <w:rFonts w:ascii="Work Sans" w:eastAsiaTheme="minorHAnsi" w:hAnsi="Work Sans" w:cs="Arial"/>
          <w:sz w:val="20"/>
          <w:szCs w:val="20"/>
          <w:lang w:eastAsia="en-US"/>
        </w:rPr>
        <w:t>.»</w:t>
      </w:r>
    </w:p>
    <w:p w14:paraId="51D252E1" w14:textId="77777777" w:rsidR="008A53B4" w:rsidRDefault="008A53B4" w:rsidP="00931F00">
      <w:pPr>
        <w:jc w:val="both"/>
        <w:rPr>
          <w:rFonts w:ascii="Work Sans" w:eastAsiaTheme="minorHAnsi" w:hAnsi="Work Sans" w:cs="Arial"/>
          <w:sz w:val="20"/>
          <w:szCs w:val="20"/>
          <w:lang w:eastAsia="en-US"/>
        </w:rPr>
      </w:pPr>
    </w:p>
    <w:p w14:paraId="6CA01C6B" w14:textId="77777777" w:rsidR="008A53B4" w:rsidRPr="008A53B4" w:rsidRDefault="008A53B4" w:rsidP="008A53B4">
      <w:pPr>
        <w:jc w:val="both"/>
        <w:rPr>
          <w:rFonts w:ascii="Work Sans" w:eastAsiaTheme="minorHAnsi" w:hAnsi="Work Sans" w:cs="Arial"/>
          <w:sz w:val="20"/>
          <w:szCs w:val="20"/>
          <w:lang w:eastAsia="en-US"/>
        </w:rPr>
      </w:pPr>
      <w:r w:rsidRPr="008A53B4">
        <w:rPr>
          <w:rFonts w:ascii="Work Sans" w:eastAsiaTheme="minorHAnsi" w:hAnsi="Work Sans" w:cs="Arial"/>
          <w:sz w:val="20"/>
          <w:szCs w:val="20"/>
          <w:lang w:eastAsia="en-US"/>
        </w:rPr>
        <w:t>Frente a su naturaleza jurídica, estas empresas mixtas constituyen una tipología especial de entidades públicas, con un régimen y una naturaleza jurídica propia, definidos por la Ley 142 de 1994. Si bien estas entidades están constituidas por capital público y privado, no deben confundirse con las sociedades de economía mixta.</w:t>
      </w:r>
    </w:p>
    <w:p w14:paraId="556F20EB" w14:textId="77777777" w:rsidR="008A53B4" w:rsidRPr="008A53B4" w:rsidRDefault="008A53B4" w:rsidP="008A53B4">
      <w:pPr>
        <w:jc w:val="both"/>
        <w:rPr>
          <w:rFonts w:ascii="Work Sans" w:eastAsiaTheme="minorHAnsi" w:hAnsi="Work Sans" w:cs="Arial"/>
          <w:sz w:val="20"/>
          <w:szCs w:val="20"/>
          <w:lang w:eastAsia="en-US"/>
        </w:rPr>
      </w:pPr>
    </w:p>
    <w:p w14:paraId="158B2219" w14:textId="4DE3EDF4" w:rsidR="008A53B4" w:rsidRDefault="008A53B4" w:rsidP="008A53B4">
      <w:pPr>
        <w:jc w:val="both"/>
        <w:rPr>
          <w:rFonts w:ascii="Work Sans" w:eastAsiaTheme="minorHAnsi" w:hAnsi="Work Sans" w:cs="Arial"/>
          <w:sz w:val="20"/>
          <w:szCs w:val="20"/>
          <w:lang w:eastAsia="en-US"/>
        </w:rPr>
      </w:pPr>
      <w:r w:rsidRPr="008A53B4">
        <w:rPr>
          <w:rFonts w:ascii="Work Sans" w:eastAsiaTheme="minorHAnsi" w:hAnsi="Work Sans" w:cs="Arial"/>
          <w:sz w:val="20"/>
          <w:szCs w:val="20"/>
          <w:lang w:eastAsia="en-US"/>
        </w:rPr>
        <w:t>Estas empresas forman parte del sector descentralizado de la Rama Ejecutiva del poder público</w:t>
      </w:r>
      <w:r w:rsidR="004913E4">
        <w:rPr>
          <w:rStyle w:val="Refdenotaalpie"/>
          <w:rFonts w:ascii="Work Sans" w:eastAsiaTheme="minorHAnsi" w:hAnsi="Work Sans" w:cs="Arial"/>
          <w:sz w:val="20"/>
          <w:szCs w:val="20"/>
          <w:lang w:eastAsia="en-US"/>
        </w:rPr>
        <w:footnoteReference w:id="8"/>
      </w:r>
      <w:r w:rsidRPr="008A53B4">
        <w:rPr>
          <w:rFonts w:ascii="Work Sans" w:eastAsiaTheme="minorHAnsi" w:hAnsi="Work Sans" w:cs="Arial"/>
          <w:sz w:val="20"/>
          <w:szCs w:val="20"/>
          <w:lang w:eastAsia="en-US"/>
        </w:rPr>
        <w:t>, pero sometidas a un régimen especial contenido en la Constitución Política y en la Ley 142 de 1994 y demás disposiciones que la modifiquen, sustituyan o deroguen. No obstante, en todo aquello que no se encuentre regulado por la ley especial se aplica la Ley 489 de 1998</w:t>
      </w:r>
      <w:r w:rsidR="00BC33AA">
        <w:rPr>
          <w:rFonts w:ascii="Work Sans" w:eastAsiaTheme="minorHAnsi" w:hAnsi="Work Sans" w:cs="Arial"/>
          <w:sz w:val="20"/>
          <w:szCs w:val="20"/>
          <w:lang w:eastAsia="en-US"/>
        </w:rPr>
        <w:t>.</w:t>
      </w:r>
    </w:p>
    <w:p w14:paraId="42DC2A20" w14:textId="77777777" w:rsidR="00BC33AA" w:rsidRDefault="00BC33AA" w:rsidP="008A53B4">
      <w:pPr>
        <w:jc w:val="both"/>
        <w:rPr>
          <w:rFonts w:ascii="Work Sans" w:eastAsiaTheme="minorHAnsi" w:hAnsi="Work Sans" w:cs="Arial"/>
          <w:sz w:val="20"/>
          <w:szCs w:val="20"/>
          <w:lang w:eastAsia="en-US"/>
        </w:rPr>
      </w:pPr>
    </w:p>
    <w:p w14:paraId="0D040D93" w14:textId="2B32E994" w:rsidR="004913E4" w:rsidRDefault="004913E4" w:rsidP="004913E4">
      <w:pPr>
        <w:jc w:val="both"/>
        <w:rPr>
          <w:rFonts w:ascii="Work Sans" w:eastAsiaTheme="minorHAnsi" w:hAnsi="Work Sans" w:cs="Arial"/>
          <w:sz w:val="20"/>
          <w:szCs w:val="20"/>
          <w:lang w:eastAsia="en-US"/>
        </w:rPr>
      </w:pPr>
      <w:r w:rsidRPr="004913E4">
        <w:rPr>
          <w:rFonts w:ascii="Work Sans" w:eastAsiaTheme="minorHAnsi" w:hAnsi="Work Sans" w:cs="Arial"/>
          <w:sz w:val="20"/>
          <w:szCs w:val="20"/>
          <w:lang w:eastAsia="en-US"/>
        </w:rPr>
        <w:t>De conformidad con lo previsto en el artículo 69 de la Ley 489 de 1998</w:t>
      </w:r>
      <w:r>
        <w:rPr>
          <w:rStyle w:val="Refdenotaalpie"/>
          <w:rFonts w:ascii="Work Sans" w:eastAsiaTheme="minorHAnsi" w:hAnsi="Work Sans" w:cs="Arial"/>
          <w:sz w:val="20"/>
          <w:szCs w:val="20"/>
          <w:lang w:eastAsia="en-US"/>
        </w:rPr>
        <w:footnoteReference w:id="9"/>
      </w:r>
      <w:r w:rsidRPr="004913E4">
        <w:rPr>
          <w:rFonts w:ascii="Work Sans" w:eastAsiaTheme="minorHAnsi" w:hAnsi="Work Sans" w:cs="Arial"/>
          <w:sz w:val="20"/>
          <w:szCs w:val="20"/>
          <w:lang w:eastAsia="en-US"/>
        </w:rPr>
        <w:t>, la creación de entidades descentralizadas se realiza por distintos instrumentos normativos, según el orden administrativo al cual pertenezcan. En el orden nacional, su creación se efectúa mediante ley, mientras que en el orden departamental, distrital o municipal, se realiza por ordenanza o acuerdo, o con su autorización, observando las disposiciones de la citada ley.</w:t>
      </w:r>
    </w:p>
    <w:p w14:paraId="38E07EF2" w14:textId="77777777" w:rsidR="004913E4" w:rsidRPr="004913E4" w:rsidRDefault="004913E4" w:rsidP="004913E4">
      <w:pPr>
        <w:jc w:val="both"/>
        <w:rPr>
          <w:rFonts w:ascii="Work Sans" w:eastAsiaTheme="minorHAnsi" w:hAnsi="Work Sans" w:cs="Arial"/>
          <w:sz w:val="20"/>
          <w:szCs w:val="20"/>
          <w:lang w:eastAsia="en-US"/>
        </w:rPr>
      </w:pPr>
    </w:p>
    <w:p w14:paraId="6F898855" w14:textId="2C66B261" w:rsidR="004913E4" w:rsidRDefault="004913E4" w:rsidP="004913E4">
      <w:pPr>
        <w:jc w:val="both"/>
        <w:rPr>
          <w:rFonts w:ascii="Work Sans" w:eastAsiaTheme="minorHAnsi" w:hAnsi="Work Sans" w:cs="Arial"/>
          <w:sz w:val="20"/>
          <w:szCs w:val="20"/>
          <w:lang w:eastAsia="en-US"/>
        </w:rPr>
      </w:pPr>
      <w:r w:rsidRPr="004913E4">
        <w:rPr>
          <w:rFonts w:ascii="Work Sans" w:eastAsiaTheme="minorHAnsi" w:hAnsi="Work Sans" w:cs="Arial"/>
          <w:sz w:val="20"/>
          <w:szCs w:val="20"/>
          <w:lang w:eastAsia="en-US"/>
        </w:rPr>
        <w:t>Esta norma refleja el principio de competencia orgánica y territorial, según el cual</w:t>
      </w:r>
      <w:r>
        <w:rPr>
          <w:rFonts w:ascii="Work Sans" w:eastAsiaTheme="minorHAnsi" w:hAnsi="Work Sans" w:cs="Arial"/>
          <w:sz w:val="20"/>
          <w:szCs w:val="20"/>
          <w:lang w:eastAsia="en-US"/>
        </w:rPr>
        <w:t>,</w:t>
      </w:r>
      <w:r w:rsidRPr="004913E4">
        <w:rPr>
          <w:rFonts w:ascii="Work Sans" w:eastAsiaTheme="minorHAnsi" w:hAnsi="Work Sans" w:cs="Arial"/>
          <w:sz w:val="20"/>
          <w:szCs w:val="20"/>
          <w:lang w:eastAsia="en-US"/>
        </w:rPr>
        <w:t xml:space="preserve"> cada nivel de la administración pública es responsable de la constitución de sus propias entidades descentralizadas, en armonía con los postulados de autonomía territorial y descentralización administrativa consagrados en los artículos 209 y 287 de la Constitución Política.</w:t>
      </w:r>
    </w:p>
    <w:p w14:paraId="1B514A09" w14:textId="77777777" w:rsidR="004913E4" w:rsidRDefault="004913E4" w:rsidP="004913E4">
      <w:pPr>
        <w:jc w:val="both"/>
        <w:rPr>
          <w:rFonts w:ascii="Work Sans" w:eastAsiaTheme="minorHAnsi" w:hAnsi="Work Sans" w:cs="Arial"/>
          <w:sz w:val="20"/>
          <w:szCs w:val="20"/>
          <w:lang w:eastAsia="en-US"/>
        </w:rPr>
      </w:pPr>
    </w:p>
    <w:p w14:paraId="37D6033F" w14:textId="589A460E" w:rsidR="00BC33AA" w:rsidRDefault="00BA0B7C" w:rsidP="008A53B4">
      <w:pPr>
        <w:jc w:val="both"/>
        <w:rPr>
          <w:rFonts w:ascii="Work Sans" w:eastAsiaTheme="minorHAnsi" w:hAnsi="Work Sans" w:cs="Arial"/>
          <w:sz w:val="20"/>
          <w:szCs w:val="20"/>
          <w:lang w:eastAsia="en-US"/>
        </w:rPr>
      </w:pPr>
      <w:r w:rsidRPr="00BA0B7C">
        <w:rPr>
          <w:rFonts w:ascii="Work Sans" w:eastAsiaTheme="minorHAnsi" w:hAnsi="Work Sans" w:cs="Arial"/>
          <w:sz w:val="20"/>
          <w:szCs w:val="20"/>
          <w:lang w:eastAsia="en-US"/>
        </w:rPr>
        <w:t xml:space="preserve">Ahora bien, conforme al artículo 50 de la Ley 489 de 1998, el acto de creación o constitución de cada entidad debe determinar su naturaleza jurídica, régimen aplicable, composición patrimonial y la entidad o ministerio al cual estará adscrita o vinculada. </w:t>
      </w:r>
    </w:p>
    <w:p w14:paraId="5468FAA8" w14:textId="77777777" w:rsidR="00BC33AA" w:rsidRDefault="00BC33AA" w:rsidP="008A53B4">
      <w:pPr>
        <w:jc w:val="both"/>
        <w:rPr>
          <w:rFonts w:ascii="Work Sans" w:eastAsiaTheme="minorHAnsi" w:hAnsi="Work Sans" w:cs="Arial"/>
          <w:sz w:val="20"/>
          <w:szCs w:val="20"/>
          <w:lang w:eastAsia="en-US"/>
        </w:rPr>
      </w:pPr>
    </w:p>
    <w:p w14:paraId="5D949910" w14:textId="6899352F" w:rsidR="00BA0B7C" w:rsidRPr="00BA0B7C" w:rsidRDefault="00BA0B7C" w:rsidP="008A53B4">
      <w:pPr>
        <w:jc w:val="both"/>
        <w:rPr>
          <w:rFonts w:ascii="Work Sans" w:eastAsiaTheme="minorHAnsi" w:hAnsi="Work Sans" w:cs="Arial"/>
          <w:sz w:val="20"/>
          <w:szCs w:val="20"/>
          <w:lang w:eastAsia="en-US"/>
        </w:rPr>
      </w:pPr>
      <w:r w:rsidRPr="00BA0B7C">
        <w:rPr>
          <w:rFonts w:ascii="Work Sans" w:eastAsiaTheme="minorHAnsi" w:hAnsi="Work Sans" w:cs="Arial"/>
          <w:sz w:val="20"/>
          <w:szCs w:val="20"/>
          <w:lang w:eastAsia="en-US"/>
        </w:rPr>
        <w:t xml:space="preserve">En consecuencia, la determinación del orden administrativo (nacional o territorial) de una empresa de servicios públicos no depende únicamente del origen del capital público, sino también </w:t>
      </w:r>
      <w:r w:rsidRPr="00BA0B7C">
        <w:rPr>
          <w:rFonts w:ascii="Work Sans" w:eastAsiaTheme="minorHAnsi" w:hAnsi="Work Sans" w:cs="Arial"/>
          <w:sz w:val="20"/>
          <w:szCs w:val="20"/>
          <w:lang w:eastAsia="en-US"/>
        </w:rPr>
        <w:lastRenderedPageBreak/>
        <w:t>de la vinculación o adscripción establecida en su acto de creación o estatutos, de acuerdo con los criterios orgánicos previstos en los artículos 38</w:t>
      </w:r>
      <w:r w:rsidR="00BC33AA">
        <w:rPr>
          <w:rStyle w:val="Refdenotaalpie"/>
          <w:rFonts w:ascii="Work Sans" w:eastAsiaTheme="minorHAnsi" w:hAnsi="Work Sans" w:cs="Arial"/>
          <w:sz w:val="20"/>
          <w:szCs w:val="20"/>
          <w:lang w:eastAsia="en-US"/>
        </w:rPr>
        <w:footnoteReference w:id="10"/>
      </w:r>
      <w:r w:rsidRPr="00BA0B7C">
        <w:rPr>
          <w:rFonts w:ascii="Work Sans" w:eastAsiaTheme="minorHAnsi" w:hAnsi="Work Sans" w:cs="Arial"/>
          <w:sz w:val="20"/>
          <w:szCs w:val="20"/>
          <w:lang w:eastAsia="en-US"/>
        </w:rPr>
        <w:t>,</w:t>
      </w:r>
      <w:r w:rsidR="004913E4">
        <w:rPr>
          <w:rFonts w:ascii="Work Sans" w:eastAsiaTheme="minorHAnsi" w:hAnsi="Work Sans" w:cs="Arial"/>
          <w:sz w:val="20"/>
          <w:szCs w:val="20"/>
          <w:lang w:eastAsia="en-US"/>
        </w:rPr>
        <w:t xml:space="preserve"> 68, 69 </w:t>
      </w:r>
      <w:r w:rsidRPr="00BA0B7C">
        <w:rPr>
          <w:rFonts w:ascii="Work Sans" w:eastAsiaTheme="minorHAnsi" w:hAnsi="Work Sans" w:cs="Arial"/>
          <w:sz w:val="20"/>
          <w:szCs w:val="20"/>
          <w:lang w:eastAsia="en-US"/>
        </w:rPr>
        <w:t>y 50</w:t>
      </w:r>
      <w:r w:rsidR="00BC33AA">
        <w:rPr>
          <w:rStyle w:val="Refdenotaalpie"/>
          <w:rFonts w:ascii="Work Sans" w:eastAsiaTheme="minorHAnsi" w:hAnsi="Work Sans" w:cs="Arial"/>
          <w:sz w:val="20"/>
          <w:szCs w:val="20"/>
          <w:lang w:eastAsia="en-US"/>
        </w:rPr>
        <w:footnoteReference w:id="11"/>
      </w:r>
      <w:r w:rsidRPr="00BA0B7C">
        <w:rPr>
          <w:rFonts w:ascii="Work Sans" w:eastAsiaTheme="minorHAnsi" w:hAnsi="Work Sans" w:cs="Arial"/>
          <w:sz w:val="20"/>
          <w:szCs w:val="20"/>
          <w:lang w:eastAsia="en-US"/>
        </w:rPr>
        <w:t xml:space="preserve"> de la citada ley.</w:t>
      </w:r>
    </w:p>
    <w:p w14:paraId="2E67042E" w14:textId="77777777" w:rsidR="002D6053" w:rsidRDefault="002D6053" w:rsidP="00931F00">
      <w:pPr>
        <w:jc w:val="both"/>
        <w:rPr>
          <w:rFonts w:ascii="Work Sans" w:eastAsiaTheme="minorHAnsi" w:hAnsi="Work Sans" w:cs="Arial"/>
          <w:sz w:val="20"/>
          <w:szCs w:val="20"/>
          <w:lang w:eastAsia="en-US"/>
        </w:rPr>
      </w:pPr>
    </w:p>
    <w:p w14:paraId="50D1D1BE" w14:textId="5A90816B" w:rsidR="00715A95" w:rsidRDefault="00E2314C" w:rsidP="00715A95">
      <w:pPr>
        <w:jc w:val="both"/>
        <w:rPr>
          <w:rFonts w:ascii="Work Sans" w:eastAsiaTheme="minorHAnsi" w:hAnsi="Work Sans" w:cs="Arial"/>
          <w:sz w:val="20"/>
          <w:szCs w:val="20"/>
          <w:lang w:eastAsia="en-US"/>
        </w:rPr>
      </w:pPr>
      <w:r>
        <w:rPr>
          <w:rFonts w:ascii="Work Sans" w:eastAsiaTheme="minorHAnsi" w:hAnsi="Work Sans" w:cs="Arial"/>
          <w:sz w:val="20"/>
          <w:szCs w:val="20"/>
          <w:lang w:eastAsia="en-US"/>
        </w:rPr>
        <w:t xml:space="preserve">Producto </w:t>
      </w:r>
      <w:r w:rsidR="004913E4">
        <w:rPr>
          <w:rFonts w:ascii="Work Sans" w:eastAsiaTheme="minorHAnsi" w:hAnsi="Work Sans" w:cs="Arial"/>
          <w:sz w:val="20"/>
          <w:szCs w:val="20"/>
          <w:lang w:eastAsia="en-US"/>
        </w:rPr>
        <w:t xml:space="preserve">de estas normativas, </w:t>
      </w:r>
      <w:r w:rsidR="00715A95">
        <w:rPr>
          <w:rFonts w:ascii="Work Sans" w:eastAsiaTheme="minorHAnsi" w:hAnsi="Work Sans" w:cs="Arial"/>
          <w:sz w:val="20"/>
          <w:szCs w:val="20"/>
          <w:lang w:eastAsia="en-US"/>
        </w:rPr>
        <w:t xml:space="preserve"> </w:t>
      </w:r>
      <w:r w:rsidR="00715A95" w:rsidRPr="00715A95">
        <w:rPr>
          <w:rFonts w:ascii="Work Sans" w:eastAsiaTheme="minorHAnsi" w:hAnsi="Work Sans" w:cs="Arial"/>
          <w:sz w:val="20"/>
          <w:szCs w:val="20"/>
          <w:lang w:eastAsia="en-US"/>
        </w:rPr>
        <w:t xml:space="preserve">si bien la participación estatal igual o superior al 50 % del capital social determina su carácter de empresa mixta, el orden administrativo al que pertenecen </w:t>
      </w:r>
      <w:r w:rsidR="00EF4A56">
        <w:rPr>
          <w:rFonts w:ascii="Work Sans" w:eastAsiaTheme="minorHAnsi" w:hAnsi="Work Sans" w:cs="Arial"/>
          <w:sz w:val="20"/>
          <w:szCs w:val="20"/>
          <w:lang w:eastAsia="en-US"/>
        </w:rPr>
        <w:t>(</w:t>
      </w:r>
      <w:r w:rsidR="00715A95" w:rsidRPr="00715A95">
        <w:rPr>
          <w:rFonts w:ascii="Work Sans" w:eastAsiaTheme="minorHAnsi" w:hAnsi="Work Sans" w:cs="Arial"/>
          <w:sz w:val="20"/>
          <w:szCs w:val="20"/>
          <w:lang w:eastAsia="en-US"/>
        </w:rPr>
        <w:t>nacional o territorial</w:t>
      </w:r>
      <w:r w:rsidR="00EF4A56">
        <w:rPr>
          <w:rFonts w:ascii="Work Sans" w:eastAsiaTheme="minorHAnsi" w:hAnsi="Work Sans" w:cs="Arial"/>
          <w:sz w:val="20"/>
          <w:szCs w:val="20"/>
          <w:lang w:eastAsia="en-US"/>
        </w:rPr>
        <w:t>)</w:t>
      </w:r>
      <w:r w:rsidR="00715A95" w:rsidRPr="00715A95">
        <w:rPr>
          <w:rFonts w:ascii="Work Sans" w:eastAsiaTheme="minorHAnsi" w:hAnsi="Work Sans" w:cs="Arial"/>
          <w:sz w:val="20"/>
          <w:szCs w:val="20"/>
          <w:lang w:eastAsia="en-US"/>
        </w:rPr>
        <w:t xml:space="preserve"> no depende únicamente del origen del capital, sino del acto jurídico de su creación o constitución, en el cual</w:t>
      </w:r>
      <w:r w:rsidR="00EF4A56">
        <w:rPr>
          <w:rFonts w:ascii="Work Sans" w:eastAsiaTheme="minorHAnsi" w:hAnsi="Work Sans" w:cs="Arial"/>
          <w:sz w:val="20"/>
          <w:szCs w:val="20"/>
          <w:lang w:eastAsia="en-US"/>
        </w:rPr>
        <w:t>,</w:t>
      </w:r>
      <w:r w:rsidR="00715A95" w:rsidRPr="00715A95">
        <w:rPr>
          <w:rFonts w:ascii="Work Sans" w:eastAsiaTheme="minorHAnsi" w:hAnsi="Work Sans" w:cs="Arial"/>
          <w:sz w:val="20"/>
          <w:szCs w:val="20"/>
          <w:lang w:eastAsia="en-US"/>
        </w:rPr>
        <w:t xml:space="preserve"> se define expresamente su adscripción o vinculación a un ministerio, departamento administrativo, gobernación o alcaldía.</w:t>
      </w:r>
    </w:p>
    <w:p w14:paraId="1990E37C" w14:textId="77777777" w:rsidR="00715A95" w:rsidRDefault="00715A95" w:rsidP="00715A95">
      <w:pPr>
        <w:jc w:val="both"/>
        <w:rPr>
          <w:rFonts w:ascii="Work Sans" w:eastAsiaTheme="minorHAnsi" w:hAnsi="Work Sans" w:cs="Arial"/>
          <w:sz w:val="20"/>
          <w:szCs w:val="20"/>
          <w:lang w:eastAsia="en-US"/>
        </w:rPr>
      </w:pPr>
    </w:p>
    <w:p w14:paraId="4AC745BD" w14:textId="77777777" w:rsidR="007807DA" w:rsidRDefault="007807DA" w:rsidP="007807DA">
      <w:pPr>
        <w:jc w:val="both"/>
        <w:rPr>
          <w:rFonts w:ascii="Work Sans" w:eastAsiaTheme="minorHAnsi" w:hAnsi="Work Sans" w:cs="Arial"/>
          <w:sz w:val="20"/>
          <w:szCs w:val="20"/>
          <w:lang w:eastAsia="en-US"/>
        </w:rPr>
      </w:pPr>
      <w:r w:rsidRPr="007807DA">
        <w:rPr>
          <w:rFonts w:ascii="Work Sans" w:eastAsiaTheme="minorHAnsi" w:hAnsi="Work Sans" w:cs="Arial"/>
          <w:sz w:val="20"/>
          <w:szCs w:val="20"/>
          <w:lang w:eastAsia="en-US"/>
        </w:rPr>
        <w:t>En ese orden de ideas, corresponde a la entidad de servicios públicos mixta verificar el orden administrativo al cual pertenece, con el fin de identificar cómo le resultan aplicables las prohibiciones establecidas en la Ley 996 de 2005.</w:t>
      </w:r>
    </w:p>
    <w:p w14:paraId="3C20FB7B" w14:textId="77777777" w:rsidR="007807DA" w:rsidRPr="007807DA" w:rsidRDefault="007807DA" w:rsidP="007807DA">
      <w:pPr>
        <w:jc w:val="both"/>
        <w:rPr>
          <w:rFonts w:ascii="Work Sans" w:eastAsiaTheme="minorHAnsi" w:hAnsi="Work Sans" w:cs="Arial"/>
          <w:sz w:val="20"/>
          <w:szCs w:val="20"/>
          <w:lang w:eastAsia="en-US"/>
        </w:rPr>
      </w:pPr>
    </w:p>
    <w:p w14:paraId="59CB322F" w14:textId="77777777" w:rsidR="007807DA" w:rsidRDefault="007807DA" w:rsidP="007807DA">
      <w:pPr>
        <w:jc w:val="both"/>
        <w:rPr>
          <w:rFonts w:ascii="Work Sans" w:eastAsiaTheme="minorHAnsi" w:hAnsi="Work Sans" w:cs="Arial"/>
          <w:sz w:val="20"/>
          <w:szCs w:val="20"/>
          <w:lang w:eastAsia="en-US"/>
        </w:rPr>
      </w:pPr>
      <w:r w:rsidRPr="007807DA">
        <w:rPr>
          <w:rFonts w:ascii="Work Sans" w:eastAsiaTheme="minorHAnsi" w:hAnsi="Work Sans" w:cs="Arial"/>
          <w:sz w:val="20"/>
          <w:szCs w:val="20"/>
          <w:lang w:eastAsia="en-US"/>
        </w:rPr>
        <w:t>En el evento de tratarse de una entidad descentralizada del orden nacional, le será aplicable lo dispuesto en el artículo 33 de la citada ley, de modo que la prohibición para celebrar contratos mediante la modalidad de contratación directa comenzará a regir a partir del 31 de enero de 2026.</w:t>
      </w:r>
    </w:p>
    <w:p w14:paraId="6CE6B26C" w14:textId="77777777" w:rsidR="007807DA" w:rsidRPr="007807DA" w:rsidRDefault="007807DA" w:rsidP="007807DA">
      <w:pPr>
        <w:jc w:val="both"/>
        <w:rPr>
          <w:rFonts w:ascii="Work Sans" w:eastAsiaTheme="minorHAnsi" w:hAnsi="Work Sans" w:cs="Arial"/>
          <w:sz w:val="20"/>
          <w:szCs w:val="20"/>
          <w:lang w:eastAsia="en-US"/>
        </w:rPr>
      </w:pPr>
    </w:p>
    <w:p w14:paraId="63511CB3" w14:textId="2C98769F" w:rsidR="007807DA" w:rsidRDefault="007807DA" w:rsidP="007807DA">
      <w:pPr>
        <w:jc w:val="both"/>
        <w:rPr>
          <w:rFonts w:ascii="Work Sans" w:eastAsiaTheme="minorHAnsi" w:hAnsi="Work Sans" w:cs="Arial"/>
          <w:sz w:val="20"/>
          <w:szCs w:val="20"/>
          <w:lang w:eastAsia="en-US"/>
        </w:rPr>
      </w:pPr>
      <w:r w:rsidRPr="007807DA">
        <w:rPr>
          <w:rFonts w:ascii="Work Sans" w:eastAsiaTheme="minorHAnsi" w:hAnsi="Work Sans" w:cs="Arial"/>
          <w:sz w:val="20"/>
          <w:szCs w:val="20"/>
          <w:lang w:eastAsia="en-US"/>
        </w:rPr>
        <w:t xml:space="preserve">Por el contrario, si se trata de una entidad descentralizada del orden territorial, le resultará aplicable la restricción prevista en el parágrafo del artículo 38, según la cual no podrá celebrar convenios interadministrativos para la ejecución de recursos públicos desde el 8 de noviembre de 2025, fecha en la que inició el periodo preelectoral correspondiente a las elecciones </w:t>
      </w:r>
      <w:r>
        <w:rPr>
          <w:rFonts w:ascii="Work Sans" w:eastAsiaTheme="minorHAnsi" w:hAnsi="Work Sans" w:cs="Arial"/>
          <w:sz w:val="20"/>
          <w:szCs w:val="20"/>
          <w:lang w:eastAsia="en-US"/>
        </w:rPr>
        <w:t xml:space="preserve">legislativas </w:t>
      </w:r>
      <w:r w:rsidRPr="007807DA">
        <w:rPr>
          <w:rFonts w:ascii="Work Sans" w:eastAsiaTheme="minorHAnsi" w:hAnsi="Work Sans" w:cs="Arial"/>
          <w:sz w:val="20"/>
          <w:szCs w:val="20"/>
          <w:lang w:eastAsia="en-US"/>
        </w:rPr>
        <w:t>de 2026.</w:t>
      </w:r>
    </w:p>
    <w:p w14:paraId="039E9FA6" w14:textId="77777777" w:rsidR="007807DA" w:rsidRPr="007807DA" w:rsidRDefault="007807DA" w:rsidP="007807DA">
      <w:pPr>
        <w:jc w:val="both"/>
        <w:rPr>
          <w:rFonts w:ascii="Work Sans" w:eastAsiaTheme="minorHAnsi" w:hAnsi="Work Sans" w:cs="Arial"/>
          <w:sz w:val="20"/>
          <w:szCs w:val="20"/>
          <w:lang w:eastAsia="en-US"/>
        </w:rPr>
      </w:pPr>
    </w:p>
    <w:p w14:paraId="081C0528" w14:textId="0D3544A2" w:rsidR="00715A95" w:rsidRDefault="007807DA" w:rsidP="007807DA">
      <w:pPr>
        <w:jc w:val="both"/>
        <w:rPr>
          <w:rFonts w:ascii="Work Sans" w:eastAsiaTheme="minorHAnsi" w:hAnsi="Work Sans" w:cs="Arial"/>
          <w:sz w:val="20"/>
          <w:szCs w:val="20"/>
          <w:lang w:eastAsia="en-US"/>
        </w:rPr>
      </w:pPr>
      <w:r w:rsidRPr="007807DA">
        <w:rPr>
          <w:rFonts w:ascii="Work Sans" w:eastAsiaTheme="minorHAnsi" w:hAnsi="Work Sans" w:cs="Arial"/>
          <w:sz w:val="20"/>
          <w:szCs w:val="20"/>
          <w:lang w:eastAsia="en-US"/>
        </w:rPr>
        <w:t>Sin perjuicio de lo anterior, y conforme se explicó en acápites anteriores, los contratos suscritos en el marco del Programa de Normalización de Redes Eléctricas – PRONE no constituyen propiamente convenios interadministrativos, razón por la cual</w:t>
      </w:r>
      <w:r w:rsidR="00EF4A56">
        <w:rPr>
          <w:rFonts w:ascii="Work Sans" w:eastAsiaTheme="minorHAnsi" w:hAnsi="Work Sans" w:cs="Arial"/>
          <w:sz w:val="20"/>
          <w:szCs w:val="20"/>
          <w:lang w:eastAsia="en-US"/>
        </w:rPr>
        <w:t>,</w:t>
      </w:r>
      <w:r w:rsidRPr="007807DA">
        <w:rPr>
          <w:rFonts w:ascii="Work Sans" w:eastAsiaTheme="minorHAnsi" w:hAnsi="Work Sans" w:cs="Arial"/>
          <w:sz w:val="20"/>
          <w:szCs w:val="20"/>
          <w:lang w:eastAsia="en-US"/>
        </w:rPr>
        <w:t xml:space="preserve"> no encajan en el supuesto material de la restricción prevista en el parágrafo del artículo 38.</w:t>
      </w:r>
    </w:p>
    <w:p w14:paraId="39BCEA38" w14:textId="77777777" w:rsidR="00C31BC4" w:rsidRPr="00280B77" w:rsidRDefault="00C31BC4" w:rsidP="00280B77"/>
    <w:p w14:paraId="00DE4258" w14:textId="0D95B7CD" w:rsidR="00280B77" w:rsidRPr="00280B77" w:rsidRDefault="00280B77" w:rsidP="00EF4A56">
      <w:pPr>
        <w:pStyle w:val="Prrafodelista"/>
        <w:numPr>
          <w:ilvl w:val="0"/>
          <w:numId w:val="4"/>
        </w:numPr>
        <w:rPr>
          <w:rFonts w:ascii="Work Sans" w:eastAsiaTheme="minorHAnsi" w:hAnsi="Work Sans" w:cs="Arial"/>
          <w:sz w:val="20"/>
          <w:szCs w:val="20"/>
          <w:lang w:eastAsia="en-US"/>
        </w:rPr>
      </w:pPr>
      <w:r w:rsidRPr="00280B77">
        <w:rPr>
          <w:rFonts w:ascii="Work Sans" w:eastAsiaTheme="minorHAnsi" w:hAnsi="Work Sans" w:cs="Arial"/>
          <w:sz w:val="20"/>
          <w:szCs w:val="20"/>
          <w:lang w:eastAsia="en-US"/>
        </w:rPr>
        <w:t>Conclusi</w:t>
      </w:r>
      <w:r w:rsidR="00EF4A56">
        <w:rPr>
          <w:rFonts w:ascii="Work Sans" w:hAnsi="Work Sans" w:cs="Arial"/>
          <w:sz w:val="20"/>
          <w:szCs w:val="20"/>
        </w:rPr>
        <w:t>ones</w:t>
      </w:r>
    </w:p>
    <w:p w14:paraId="7EB483F4" w14:textId="77777777" w:rsidR="001A7BA2" w:rsidRPr="00F03A72" w:rsidRDefault="001A7BA2" w:rsidP="00AF21D9">
      <w:pPr>
        <w:ind w:right="51"/>
        <w:contextualSpacing/>
        <w:jc w:val="both"/>
        <w:rPr>
          <w:rFonts w:ascii="Work Sans" w:eastAsiaTheme="minorHAnsi" w:hAnsi="Work Sans" w:cs="Arial"/>
          <w:sz w:val="20"/>
          <w:szCs w:val="20"/>
          <w:lang w:eastAsia="en-US"/>
        </w:rPr>
      </w:pPr>
    </w:p>
    <w:p w14:paraId="0615E5F5" w14:textId="5ADBF3C1" w:rsidR="00F03A72" w:rsidRPr="00F03A72" w:rsidRDefault="00F03A72" w:rsidP="00F03A72">
      <w:pPr>
        <w:pStyle w:val="p1"/>
        <w:numPr>
          <w:ilvl w:val="1"/>
          <w:numId w:val="4"/>
        </w:numPr>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lastRenderedPageBreak/>
        <w:t>Ámbito subjetivo de aplicación de la Ley de Garantías Electorales</w:t>
      </w:r>
    </w:p>
    <w:p w14:paraId="1123A4EC" w14:textId="77777777" w:rsidR="00F03A72" w:rsidRPr="00F03A72" w:rsidRDefault="00F03A72" w:rsidP="00F03A72">
      <w:pPr>
        <w:pStyle w:val="p2"/>
        <w:jc w:val="both"/>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 xml:space="preserve">La Ley 996 de 2005 establece dos regímenes diferenciados de restricción contractual: el artículo 33, aplicable a todas las entidades del Estado sin distinción de orden o régimen jurídico, y el parágrafo del artículo 38, circunscrito exclusivamente a los gobernadores, alcaldes, secretarios, gerentes y directores de entidades descentralizadas del orden territorial. En consecuencia, el Ministerio de Minas y Energía, como entidad del orden nacional, se encuentra sometido a las limitaciones del artículo 33, pero no al ámbito restrictivo del parágrafo del artículo 38, cuya aplicación es de interpretación estricta conforme a la jurisprudencia del Consejo de Estado (Autos del 4 de octubre de 2024, </w:t>
      </w:r>
      <w:proofErr w:type="spellStart"/>
      <w:r w:rsidRPr="00F03A72">
        <w:rPr>
          <w:rFonts w:ascii="Work Sans" w:eastAsiaTheme="minorHAnsi" w:hAnsi="Work Sans" w:cs="Arial"/>
          <w:sz w:val="20"/>
          <w:szCs w:val="20"/>
          <w:lang w:eastAsia="en-US"/>
        </w:rPr>
        <w:t>Exp</w:t>
      </w:r>
      <w:proofErr w:type="spellEnd"/>
      <w:r w:rsidRPr="00F03A72">
        <w:rPr>
          <w:rFonts w:ascii="Work Sans" w:eastAsiaTheme="minorHAnsi" w:hAnsi="Work Sans" w:cs="Arial"/>
          <w:sz w:val="20"/>
          <w:szCs w:val="20"/>
          <w:lang w:eastAsia="en-US"/>
        </w:rPr>
        <w:t xml:space="preserve">. 70.313, y del 6 de noviembre de 2025, </w:t>
      </w:r>
      <w:proofErr w:type="spellStart"/>
      <w:r w:rsidRPr="00F03A72">
        <w:rPr>
          <w:rFonts w:ascii="Work Sans" w:eastAsiaTheme="minorHAnsi" w:hAnsi="Work Sans" w:cs="Arial"/>
          <w:sz w:val="20"/>
          <w:szCs w:val="20"/>
          <w:lang w:eastAsia="en-US"/>
        </w:rPr>
        <w:t>Exp</w:t>
      </w:r>
      <w:proofErr w:type="spellEnd"/>
      <w:r w:rsidRPr="00F03A72">
        <w:rPr>
          <w:rFonts w:ascii="Work Sans" w:eastAsiaTheme="minorHAnsi" w:hAnsi="Work Sans" w:cs="Arial"/>
          <w:sz w:val="20"/>
          <w:szCs w:val="20"/>
          <w:lang w:eastAsia="en-US"/>
        </w:rPr>
        <w:t>. 72.424).</w:t>
      </w:r>
    </w:p>
    <w:p w14:paraId="1F7ABF10" w14:textId="2715B111" w:rsidR="00F03A72" w:rsidRPr="00F03A72" w:rsidRDefault="00F03A72" w:rsidP="00F03A72">
      <w:pPr>
        <w:pStyle w:val="p1"/>
        <w:numPr>
          <w:ilvl w:val="1"/>
          <w:numId w:val="4"/>
        </w:numPr>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Aplicación de las restricciones en los contratos PRONE</w:t>
      </w:r>
    </w:p>
    <w:p w14:paraId="43008DAC" w14:textId="77777777" w:rsidR="00F03A72" w:rsidRPr="00F03A72" w:rsidRDefault="00F03A72" w:rsidP="00F03A72">
      <w:pPr>
        <w:pStyle w:val="p1"/>
        <w:ind w:left="720"/>
        <w:jc w:val="both"/>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Los contratos derivados del Programa de Normalización de Redes Eléctricas – PRONE son celebrados por el Ministerio de Minas y Energía, entidad estatal del orden nacional, y, por tanto, están sujetos a la restricción temporal prevista en el artículo 33 de la Ley 996 de 2005, esto es, la prohibición de celebrar contratos mediante la modalidad de contratación directa durante los cuatro (4) meses anteriores a la elección presidencial, lo que corresponde al periodo comprendido entre el 31 de enero y el 31 de mayo de 2026.</w:t>
      </w:r>
    </w:p>
    <w:p w14:paraId="0747D68E" w14:textId="77777777" w:rsidR="00F03A72" w:rsidRPr="00F03A72" w:rsidRDefault="00F03A72" w:rsidP="00F03A72">
      <w:pPr>
        <w:pStyle w:val="p2"/>
        <w:ind w:left="720"/>
        <w:jc w:val="both"/>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Aunque los procesos PRONE se adelantan mediante convocatorias públicas, la estructura operativa del programa no permite la pluralidad real de oferentes, por lo que, desde una interpretación material del Consejo de Estado, pueden asimilarse a un esquema de contratación directa para efectos de la restricción.</w:t>
      </w:r>
    </w:p>
    <w:p w14:paraId="69FEBB9B" w14:textId="47BDF8BF" w:rsidR="00F03A72" w:rsidRPr="00F03A72" w:rsidRDefault="00F03A72" w:rsidP="005B09A5">
      <w:pPr>
        <w:pStyle w:val="p1"/>
        <w:numPr>
          <w:ilvl w:val="1"/>
          <w:numId w:val="4"/>
        </w:numPr>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Inaplicabilidad del parágrafo del artículo 38 a los contratos PRONE</w:t>
      </w:r>
    </w:p>
    <w:p w14:paraId="6C702816" w14:textId="588D841C" w:rsidR="00F03A72" w:rsidRPr="00F03A72" w:rsidRDefault="00F03A72" w:rsidP="00BA46BD">
      <w:pPr>
        <w:pStyle w:val="p2"/>
        <w:ind w:left="720"/>
        <w:jc w:val="both"/>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Los contratos PRONE no corresponden a convenios interadministrativos, pues no tienen por objeto la ejecución conjunta de competencias entre entidades estatales, sino la asignación y ejecución de recursos nacionales para financiar proyectos de normalización eléctrica presentados por los Operadores de Red (públicos, privados o mixtos). Por tanto, no encajan en el supuesto material de la prohibición prevista en el parágrafo del artículo 38 de la Ley 996 de 2005, la cual</w:t>
      </w:r>
      <w:r w:rsidR="001A17D7">
        <w:rPr>
          <w:rFonts w:ascii="Work Sans" w:eastAsiaTheme="minorHAnsi" w:hAnsi="Work Sans" w:cs="Arial"/>
          <w:sz w:val="20"/>
          <w:szCs w:val="20"/>
          <w:lang w:eastAsia="en-US"/>
        </w:rPr>
        <w:t>,</w:t>
      </w:r>
      <w:r w:rsidRPr="00F03A72">
        <w:rPr>
          <w:rFonts w:ascii="Work Sans" w:eastAsiaTheme="minorHAnsi" w:hAnsi="Work Sans" w:cs="Arial"/>
          <w:sz w:val="20"/>
          <w:szCs w:val="20"/>
          <w:lang w:eastAsia="en-US"/>
        </w:rPr>
        <w:t xml:space="preserve"> se restringe a convenios interadministrativos para la ejecución de recursos públicos suscritos por entidades del orden territorial.</w:t>
      </w:r>
    </w:p>
    <w:p w14:paraId="25BEBAB9" w14:textId="0B04C938" w:rsidR="00F03A72" w:rsidRPr="00F03A72" w:rsidRDefault="00F03A72" w:rsidP="005B09A5">
      <w:pPr>
        <w:pStyle w:val="p1"/>
        <w:numPr>
          <w:ilvl w:val="1"/>
          <w:numId w:val="4"/>
        </w:numPr>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Determinación del orden administrativo en empresas de servicios públicos mixtas</w:t>
      </w:r>
    </w:p>
    <w:p w14:paraId="1EE7E11E" w14:textId="77777777" w:rsidR="00C15F00" w:rsidRDefault="00F03A72" w:rsidP="00C15F00">
      <w:pPr>
        <w:pStyle w:val="p1"/>
        <w:ind w:left="720"/>
        <w:jc w:val="both"/>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La naturaleza y el orden administrativo (nacional o territorial) de las empresas de servicios públicos mixtas dependen del acto jurídico de su creación o constitución, conforme a los artículos 50, 68 y 69 de la Ley 489 de 1998. En consecuencia, una empresa con participación estatal igual o superior al 50 % del capital social puede pertenecer al orden nacional o territorial, según la entidad que ejerza su tutela o vinculación.</w:t>
      </w:r>
    </w:p>
    <w:p w14:paraId="72D05586" w14:textId="553781E9" w:rsidR="00F03A72" w:rsidRPr="00F03A72" w:rsidRDefault="00F03A72" w:rsidP="00C15F00">
      <w:pPr>
        <w:pStyle w:val="p1"/>
        <w:ind w:left="720"/>
        <w:jc w:val="both"/>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lastRenderedPageBreak/>
        <w:t>Si corresponde a una entidad descentralizada del orden nacional, le será aplicable la restricción del artículo 33 de la Ley 996 de 2005, a partir del 31 de enero de 2026.</w:t>
      </w:r>
      <w:r w:rsidR="00C15F00">
        <w:rPr>
          <w:rFonts w:ascii="Work Sans" w:eastAsiaTheme="minorHAnsi" w:hAnsi="Work Sans" w:cs="Arial"/>
          <w:sz w:val="20"/>
          <w:szCs w:val="20"/>
          <w:lang w:eastAsia="en-US"/>
        </w:rPr>
        <w:t xml:space="preserve"> </w:t>
      </w:r>
      <w:r w:rsidRPr="00F03A72">
        <w:rPr>
          <w:rFonts w:ascii="Work Sans" w:eastAsiaTheme="minorHAnsi" w:hAnsi="Work Sans" w:cs="Arial"/>
          <w:sz w:val="20"/>
          <w:szCs w:val="20"/>
          <w:lang w:eastAsia="en-US"/>
        </w:rPr>
        <w:t>Si corresponde a una entidad descentralizada del orden territorial, le será aplicable la prohibición del parágrafo del artículo 38, vigente desde el 8 de noviembre de 2025.</w:t>
      </w:r>
    </w:p>
    <w:p w14:paraId="3D6DF043" w14:textId="77777777" w:rsidR="00F03A72" w:rsidRPr="00F03A72" w:rsidRDefault="00F03A72" w:rsidP="00F03A72">
      <w:pPr>
        <w:pStyle w:val="p1"/>
        <w:numPr>
          <w:ilvl w:val="0"/>
          <w:numId w:val="4"/>
        </w:numPr>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Conclusión general</w:t>
      </w:r>
    </w:p>
    <w:p w14:paraId="4EAF6F85" w14:textId="030BEE4D" w:rsidR="00F03A72" w:rsidRPr="00F03A72" w:rsidRDefault="00F03A72" w:rsidP="00C15F00">
      <w:pPr>
        <w:pStyle w:val="p1"/>
        <w:ind w:left="720"/>
        <w:jc w:val="both"/>
        <w:rPr>
          <w:rFonts w:ascii="Work Sans" w:eastAsiaTheme="minorHAnsi" w:hAnsi="Work Sans" w:cs="Arial"/>
          <w:sz w:val="20"/>
          <w:szCs w:val="20"/>
          <w:lang w:eastAsia="en-US"/>
        </w:rPr>
      </w:pPr>
      <w:r w:rsidRPr="00F03A72">
        <w:rPr>
          <w:rFonts w:ascii="Work Sans" w:eastAsiaTheme="minorHAnsi" w:hAnsi="Work Sans" w:cs="Arial"/>
          <w:sz w:val="20"/>
          <w:szCs w:val="20"/>
          <w:lang w:eastAsia="en-US"/>
        </w:rPr>
        <w:t>En síntesis, los contratos PRONE suscritos por el Ministerio de Minas y Energía se encuentran sometidos al artículo 33 de la Ley 996 de 2005, y las restricciones derivadas del parágrafo del artículo 38 solo aplican a entidades descentralizadas del orden territorial y exclusivamente respecto de la celebración de convenios interadministrativos para la ejecución de recursos públicos.</w:t>
      </w:r>
      <w:r w:rsidR="00C15F00">
        <w:rPr>
          <w:rFonts w:ascii="Work Sans" w:eastAsiaTheme="minorHAnsi" w:hAnsi="Work Sans" w:cs="Arial"/>
          <w:sz w:val="20"/>
          <w:szCs w:val="20"/>
          <w:lang w:eastAsia="en-US"/>
        </w:rPr>
        <w:t xml:space="preserve"> E</w:t>
      </w:r>
      <w:r w:rsidRPr="00F03A72">
        <w:rPr>
          <w:rFonts w:ascii="Work Sans" w:eastAsiaTheme="minorHAnsi" w:hAnsi="Work Sans" w:cs="Arial"/>
          <w:sz w:val="20"/>
          <w:szCs w:val="20"/>
          <w:lang w:eastAsia="en-US"/>
        </w:rPr>
        <w:t>n ningún caso, los instrumentos derivados del PRONE puedan considerarse convenios interadministrativos en los términos previstos por la Ley de Garantías Electorales.</w:t>
      </w:r>
    </w:p>
    <w:p w14:paraId="3024C4AE" w14:textId="77777777" w:rsidR="00F03A72" w:rsidRDefault="00F03A72" w:rsidP="00AF21D9">
      <w:pPr>
        <w:ind w:right="51"/>
        <w:contextualSpacing/>
        <w:jc w:val="both"/>
        <w:rPr>
          <w:rFonts w:ascii="Work Sans" w:hAnsi="Work Sans" w:cs="Arial"/>
          <w:highlight w:val="yellow"/>
        </w:rPr>
      </w:pPr>
    </w:p>
    <w:p w14:paraId="425E25CF" w14:textId="77777777" w:rsidR="002757D9" w:rsidRDefault="002757D9" w:rsidP="00AF21D9">
      <w:pPr>
        <w:ind w:right="51"/>
        <w:contextualSpacing/>
        <w:jc w:val="both"/>
        <w:rPr>
          <w:rFonts w:ascii="Work Sans" w:hAnsi="Work Sans" w:cs="Arial"/>
          <w:highlight w:val="yellow"/>
        </w:rPr>
      </w:pPr>
    </w:p>
    <w:p w14:paraId="32382521" w14:textId="18D4F97C" w:rsidR="002757D9" w:rsidRPr="0026480C" w:rsidRDefault="002757D9" w:rsidP="00AF21D9">
      <w:pPr>
        <w:ind w:right="51"/>
        <w:contextualSpacing/>
        <w:jc w:val="both"/>
        <w:rPr>
          <w:rFonts w:ascii="Work Sans" w:hAnsi="Work Sans" w:cs="Arial"/>
        </w:rPr>
      </w:pPr>
      <w:r w:rsidRPr="0026480C">
        <w:rPr>
          <w:rFonts w:ascii="Work Sans" w:hAnsi="Work Sans" w:cs="Arial"/>
        </w:rPr>
        <w:t>Cordialmente,</w:t>
      </w:r>
    </w:p>
    <w:p w14:paraId="22DD1EE3" w14:textId="77777777" w:rsidR="00AF21D9" w:rsidRDefault="00AF21D9" w:rsidP="00AF21D9">
      <w:pPr>
        <w:ind w:right="51"/>
        <w:contextualSpacing/>
        <w:jc w:val="both"/>
        <w:rPr>
          <w:rFonts w:ascii="Work Sans" w:hAnsi="Work Sans" w:cs="Arial"/>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rsidTr="00452E77">
        <w:tc>
          <w:tcPr>
            <w:tcW w:w="8789" w:type="dxa"/>
            <w:gridSpan w:val="2"/>
          </w:tcPr>
          <w:p w14:paraId="17F6B7B8" w14:textId="77777777" w:rsidR="00AF21D9" w:rsidRDefault="00AF21D9" w:rsidP="00452E77">
            <w:pPr>
              <w:rPr>
                <w:rFonts w:ascii="Work Sans" w:hAnsi="Work Sans"/>
              </w:rPr>
            </w:pPr>
            <w:proofErr w:type="spellStart"/>
            <w:r w:rsidRPr="002B6778">
              <w:rPr>
                <w:rFonts w:ascii="Work Sans" w:hAnsi="Work Sans" w:cs="Arial"/>
              </w:rPr>
              <w:t>Tabla_Firmantes</w:t>
            </w:r>
            <w:proofErr w:type="spellEnd"/>
          </w:p>
        </w:tc>
      </w:tr>
      <w:tr w:rsidR="00AF21D9" w14:paraId="20FB7E56" w14:textId="77777777" w:rsidTr="00452E77">
        <w:tc>
          <w:tcPr>
            <w:tcW w:w="4380" w:type="dxa"/>
          </w:tcPr>
          <w:p w14:paraId="737EC67B" w14:textId="77777777" w:rsidR="00AF21D9" w:rsidRDefault="00AF21D9" w:rsidP="00452E77">
            <w:pPr>
              <w:rPr>
                <w:rFonts w:ascii="Work Sans ExtraLight" w:hAnsi="Work Sans ExtraLight"/>
              </w:rPr>
            </w:pPr>
          </w:p>
        </w:tc>
        <w:tc>
          <w:tcPr>
            <w:tcW w:w="4409" w:type="dxa"/>
          </w:tcPr>
          <w:p w14:paraId="61915F22" w14:textId="77777777" w:rsidR="00AF21D9" w:rsidRDefault="00AF21D9" w:rsidP="00452E77">
            <w:pPr>
              <w:rPr>
                <w:rFonts w:ascii="Work Sans ExtraLight" w:hAnsi="Work Sans ExtraLight"/>
              </w:rPr>
            </w:pPr>
          </w:p>
        </w:tc>
      </w:tr>
      <w:tr w:rsidR="00AF21D9" w14:paraId="6466065E" w14:textId="77777777" w:rsidTr="00452E77">
        <w:tc>
          <w:tcPr>
            <w:tcW w:w="4380" w:type="dxa"/>
          </w:tcPr>
          <w:p w14:paraId="6B2A5AB1" w14:textId="77777777" w:rsidR="00AF21D9" w:rsidRDefault="00AF21D9" w:rsidP="00452E77">
            <w:pPr>
              <w:rPr>
                <w:rFonts w:ascii="Work Sans ExtraLight" w:hAnsi="Work Sans ExtraLight"/>
              </w:rPr>
            </w:pPr>
          </w:p>
        </w:tc>
        <w:tc>
          <w:tcPr>
            <w:tcW w:w="4409" w:type="dxa"/>
          </w:tcPr>
          <w:p w14:paraId="52E63402" w14:textId="77777777" w:rsidR="00AF21D9" w:rsidRDefault="00AF21D9" w:rsidP="00452E77">
            <w:pPr>
              <w:rPr>
                <w:rFonts w:ascii="Work Sans ExtraLight" w:hAnsi="Work Sans ExtraLight"/>
              </w:rPr>
            </w:pPr>
          </w:p>
        </w:tc>
      </w:tr>
    </w:tbl>
    <w:p w14:paraId="390F3597" w14:textId="77777777" w:rsidR="00AF21D9" w:rsidRDefault="00AF21D9" w:rsidP="00AF21D9">
      <w:pPr>
        <w:rPr>
          <w:rFonts w:ascii="Work Sans" w:hAnsi="Work Sans"/>
          <w:sz w:val="16"/>
          <w:szCs w:val="16"/>
        </w:rPr>
      </w:pPr>
      <w:proofErr w:type="spellStart"/>
      <w:r>
        <w:rPr>
          <w:rFonts w:ascii="Work Sans" w:hAnsi="Work Sans"/>
          <w:sz w:val="16"/>
          <w:szCs w:val="16"/>
        </w:rPr>
        <w:t>ley_texto</w:t>
      </w:r>
      <w:proofErr w:type="spellEnd"/>
    </w:p>
    <w:p w14:paraId="1787BBD9" w14:textId="77777777" w:rsidR="00AF21D9" w:rsidRDefault="00AF21D9" w:rsidP="00AF21D9">
      <w:pPr>
        <w:rPr>
          <w:rFonts w:ascii="Work Sans" w:hAnsi="Work Sans"/>
          <w:spacing w:val="-3"/>
          <w:sz w:val="16"/>
          <w:szCs w:val="16"/>
          <w:lang w:val="es-ES_tradnl" w:eastAsia="es-ES"/>
        </w:rPr>
      </w:pPr>
      <w:proofErr w:type="spellStart"/>
      <w:r>
        <w:rPr>
          <w:rFonts w:ascii="Work Sans" w:hAnsi="Work Sans"/>
          <w:spacing w:val="-3"/>
          <w:sz w:val="16"/>
          <w:szCs w:val="16"/>
          <w:lang w:val="es-ES_tradnl" w:eastAsia="es-ES"/>
        </w:rPr>
        <w:t>rad_padre</w:t>
      </w:r>
      <w:proofErr w:type="spellEnd"/>
    </w:p>
    <w:p w14:paraId="4D3E2D14" w14:textId="77777777" w:rsidR="00AF21D9" w:rsidRDefault="00AF21D9" w:rsidP="00AF21D9">
      <w:pPr>
        <w:rPr>
          <w:rFonts w:ascii="Work Sans" w:hAnsi="Work Sans"/>
          <w:sz w:val="16"/>
          <w:szCs w:val="16"/>
        </w:rPr>
      </w:pPr>
      <w:proofErr w:type="spellStart"/>
      <w:r>
        <w:rPr>
          <w:rFonts w:ascii="Work Sans" w:hAnsi="Work Sans"/>
          <w:sz w:val="16"/>
          <w:szCs w:val="16"/>
        </w:rPr>
        <w:t>anexo_r</w:t>
      </w:r>
      <w:proofErr w:type="spellEnd"/>
    </w:p>
    <w:p w14:paraId="65542969" w14:textId="77777777" w:rsidR="00AF21D9" w:rsidRDefault="00AF21D9" w:rsidP="00AF21D9">
      <w:pPr>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51E62EE" w14:textId="68C5967B" w:rsidR="00C04679" w:rsidRPr="00AF21D9" w:rsidRDefault="00AF21D9" w:rsidP="00AF21D9">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Reviso: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C04679" w:rsidRPr="00AF21D9" w:rsidSect="0023586F">
      <w:headerReference w:type="default" r:id="rId8"/>
      <w:footerReference w:type="default" r:id="rId9"/>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462C3" w14:textId="77777777" w:rsidR="00543547" w:rsidRDefault="00543547">
      <w:r>
        <w:separator/>
      </w:r>
    </w:p>
  </w:endnote>
  <w:endnote w:type="continuationSeparator" w:id="0">
    <w:p w14:paraId="2C2DFD56" w14:textId="77777777" w:rsidR="00543547" w:rsidRDefault="0054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AppleSystemUIFont">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A29B2" w14:textId="77777777" w:rsidR="00543547" w:rsidRDefault="00543547">
      <w:r>
        <w:separator/>
      </w:r>
    </w:p>
  </w:footnote>
  <w:footnote w:type="continuationSeparator" w:id="0">
    <w:p w14:paraId="52895659" w14:textId="77777777" w:rsidR="00543547" w:rsidRDefault="00543547">
      <w:r>
        <w:continuationSeparator/>
      </w:r>
    </w:p>
  </w:footnote>
  <w:footnote w:id="1">
    <w:p w14:paraId="6AE24741" w14:textId="32A127A6" w:rsidR="00C7305A" w:rsidRPr="00C7305A" w:rsidRDefault="00C7305A" w:rsidP="00C7305A">
      <w:pPr>
        <w:rPr>
          <w:rFonts w:ascii="Arial" w:hAnsi="Arial" w:cs="Arial"/>
          <w:color w:val="000000"/>
          <w:sz w:val="18"/>
          <w:szCs w:val="18"/>
        </w:rPr>
      </w:pPr>
      <w:r>
        <w:rPr>
          <w:rStyle w:val="Refdenotaalpie"/>
        </w:rPr>
        <w:footnoteRef/>
      </w:r>
      <w:r>
        <w:t xml:space="preserve"> «</w:t>
      </w:r>
      <w:r w:rsidRPr="00C7305A">
        <w:rPr>
          <w:rFonts w:ascii="Arial" w:hAnsi="Arial" w:cs="Arial"/>
          <w:color w:val="000000"/>
          <w:sz w:val="18"/>
          <w:szCs w:val="18"/>
        </w:rPr>
        <w:t xml:space="preserve">12.7 GRUPO DE GESTIÓN CONTRACTUAL. (…) 7. </w:t>
      </w:r>
      <w:r w:rsidRPr="003E627A">
        <w:rPr>
          <w:rFonts w:ascii="Arial" w:hAnsi="Arial" w:cs="Arial"/>
          <w:color w:val="000000"/>
          <w:sz w:val="18"/>
          <w:szCs w:val="18"/>
        </w:rPr>
        <w:t>Brindar asesoría, estudiar, evaluar y conceptuar en asuntos contractuales</w:t>
      </w:r>
      <w:r>
        <w:rPr>
          <w:rFonts w:ascii="Arial" w:hAnsi="Arial" w:cs="Arial"/>
          <w:color w:val="000000"/>
          <w:sz w:val="18"/>
          <w:szCs w:val="18"/>
        </w:rPr>
        <w:t xml:space="preserve"> </w:t>
      </w:r>
      <w:r w:rsidRPr="003E627A">
        <w:rPr>
          <w:rFonts w:ascii="Arial" w:hAnsi="Arial" w:cs="Arial"/>
          <w:color w:val="000000"/>
          <w:sz w:val="18"/>
          <w:szCs w:val="18"/>
        </w:rPr>
        <w:t>garantizando la correcta aplicación de normas y procedimientos vigentes</w:t>
      </w:r>
      <w:r>
        <w:rPr>
          <w:rFonts w:ascii="Arial" w:hAnsi="Arial" w:cs="Arial"/>
          <w:color w:val="000000"/>
          <w:sz w:val="18"/>
          <w:szCs w:val="18"/>
        </w:rPr>
        <w:t xml:space="preserve"> </w:t>
      </w:r>
      <w:r w:rsidRPr="003E627A">
        <w:rPr>
          <w:rFonts w:ascii="Arial" w:hAnsi="Arial" w:cs="Arial"/>
          <w:color w:val="000000"/>
          <w:sz w:val="18"/>
          <w:szCs w:val="18"/>
        </w:rPr>
        <w:t>sobre el Sistema de Compra Pública.</w:t>
      </w:r>
      <w:r>
        <w:rPr>
          <w:rFonts w:ascii="Arial" w:hAnsi="Arial" w:cs="Arial"/>
          <w:color w:val="000000"/>
          <w:sz w:val="18"/>
          <w:szCs w:val="18"/>
        </w:rPr>
        <w:t xml:space="preserve"> (…)»</w:t>
      </w:r>
    </w:p>
  </w:footnote>
  <w:footnote w:id="2">
    <w:p w14:paraId="15CC89A2" w14:textId="081BD88E" w:rsidR="00C7305A" w:rsidRPr="00C7305A" w:rsidRDefault="00C7305A">
      <w:pPr>
        <w:pStyle w:val="Textonotapie"/>
        <w:rPr>
          <w:lang w:val="en-US"/>
        </w:rPr>
      </w:pPr>
      <w:r>
        <w:rPr>
          <w:rStyle w:val="Refdenotaalpie"/>
        </w:rPr>
        <w:footnoteRef/>
      </w:r>
      <w:r>
        <w:t xml:space="preserve"> </w:t>
      </w:r>
      <w:r w:rsidRPr="00C7305A">
        <w:t>Por medio de la cual se reglamenta la elección de Presidente de la República, de conformidad con el artículo 152 literal f) de la Constitución Política de Colombia, y de acuerdo con lo establecido en el Acto Legislativo02 de 2004, y se dictan otras disposiciones. Ley de Garantías Electorales</w:t>
      </w:r>
    </w:p>
  </w:footnote>
  <w:footnote w:id="3">
    <w:p w14:paraId="111913AF" w14:textId="07984747" w:rsidR="00551186" w:rsidRPr="00551186" w:rsidRDefault="00551186">
      <w:pPr>
        <w:pStyle w:val="Textonotapie"/>
      </w:pPr>
      <w:r>
        <w:rPr>
          <w:rStyle w:val="Refdenotaalpie"/>
        </w:rPr>
        <w:footnoteRef/>
      </w:r>
      <w:r>
        <w:t xml:space="preserve"> </w:t>
      </w:r>
      <w:r w:rsidRPr="00551186">
        <w:t>Ver Concepto Sala de Consulta C.E. 1712 de 2006 Consejo de Estado - Sala de Consulta y Servicio Civil</w:t>
      </w:r>
      <w:r>
        <w:t>.</w:t>
      </w:r>
    </w:p>
  </w:footnote>
  <w:footnote w:id="4">
    <w:p w14:paraId="0CC61CDF" w14:textId="77777777" w:rsidR="006E01E8" w:rsidRPr="006E01E8" w:rsidRDefault="00E26A54" w:rsidP="006E01E8">
      <w:pPr>
        <w:pStyle w:val="Textonotapie"/>
        <w:suppressAutoHyphens/>
        <w:jc w:val="both"/>
      </w:pPr>
      <w:r>
        <w:rPr>
          <w:rStyle w:val="Refdenotaalpie"/>
        </w:rPr>
        <w:footnoteRef/>
      </w:r>
      <w:r>
        <w:t xml:space="preserve"> </w:t>
      </w:r>
      <w:r w:rsidR="006E01E8" w:rsidRPr="006E01E8">
        <w:t xml:space="preserve"> ARTÍCULO 2o. DE LA DEFINICIÓN DE ENTIDADES, SERVIDORES Y SERVICIOS PÚBLICOS. Para los solos efectos de esta ley:</w:t>
      </w:r>
    </w:p>
    <w:p w14:paraId="274E3FC6" w14:textId="77777777" w:rsidR="006E01E8" w:rsidRPr="006E01E8" w:rsidRDefault="006E01E8" w:rsidP="006E01E8">
      <w:pPr>
        <w:pStyle w:val="Textonotapie"/>
        <w:suppressAutoHyphens/>
        <w:jc w:val="both"/>
      </w:pPr>
    </w:p>
    <w:p w14:paraId="7FF16192" w14:textId="77777777" w:rsidR="006E01E8" w:rsidRPr="006E01E8" w:rsidRDefault="006E01E8" w:rsidP="006E01E8">
      <w:pPr>
        <w:pStyle w:val="Textonotapie"/>
        <w:suppressAutoHyphens/>
        <w:jc w:val="both"/>
      </w:pPr>
      <w:r w:rsidRPr="006E01E8">
        <w:t>1o. Se denominan entidades estatales:</w:t>
      </w:r>
    </w:p>
    <w:p w14:paraId="6A392BA7" w14:textId="77777777" w:rsidR="006E01E8" w:rsidRPr="006E01E8" w:rsidRDefault="006E01E8" w:rsidP="006E01E8">
      <w:pPr>
        <w:pStyle w:val="Textonotapie"/>
        <w:suppressAutoHyphens/>
        <w:jc w:val="both"/>
      </w:pPr>
    </w:p>
    <w:p w14:paraId="2E4C8B0C" w14:textId="77777777" w:rsidR="006E01E8" w:rsidRPr="006E01E8" w:rsidRDefault="006E01E8" w:rsidP="006E01E8">
      <w:pPr>
        <w:pStyle w:val="Textonotapie"/>
        <w:suppressAutoHyphens/>
        <w:jc w:val="both"/>
      </w:pPr>
      <w:r w:rsidRPr="006E01E8">
        <w:t>a) La Nación, las regiones, los departamentos, las provincias, el distrito capital y los distritos especiales, las áreas metropolitanas, las asociaciones de municipios, los territorios indígenas y los municipios; los establecimientos públicos, las empresas industriales y comerciales del Estado, las sociedades de economía mixta en las que el Estado tenga participación superior al cincuenta por ciento (50%), así como las entidades descentralizadas indirectas y las demás personas jurídicas en las que exista dicha participación pública mayoritaria, cualquiera sea la denominación que ellas adopten, en todos los órdenes y niveles.</w:t>
      </w:r>
    </w:p>
    <w:p w14:paraId="497F1BFB" w14:textId="77777777" w:rsidR="006E01E8" w:rsidRPr="006E01E8" w:rsidRDefault="006E01E8" w:rsidP="006E01E8">
      <w:pPr>
        <w:pStyle w:val="Textonotapie"/>
        <w:suppressAutoHyphens/>
        <w:jc w:val="both"/>
      </w:pPr>
    </w:p>
    <w:p w14:paraId="617D46C6" w14:textId="585E97B7" w:rsidR="00E26A54" w:rsidRPr="006E01E8" w:rsidRDefault="006E01E8" w:rsidP="006E01E8">
      <w:pPr>
        <w:pStyle w:val="Textonotapie"/>
        <w:jc w:val="both"/>
      </w:pPr>
      <w:r w:rsidRPr="006E01E8">
        <w:t>b) El Senado de la República, la Cámara de Representantes, el Consejo Superior de la Judicatura, la Fiscalía General de la Nación, la Contraloría General de la República, las contralorías departamentales, distritales y municipales, la Procuraduría General de la Nación, la Registraduría Nacional del Estado Civil, los ministerios, los departamentos administrativos, las superintendencias, las unidades administrativas especiales y, en general, los organismos o dependencias del Estado a los que la ley otorgue capacidad para celebrar contratos.</w:t>
      </w:r>
      <w:r>
        <w:t xml:space="preserve"> (…)</w:t>
      </w:r>
    </w:p>
  </w:footnote>
  <w:footnote w:id="5">
    <w:p w14:paraId="0AF25B19" w14:textId="0B302B98" w:rsidR="00E020D7" w:rsidRPr="00D46A68" w:rsidRDefault="00E020D7">
      <w:pPr>
        <w:pStyle w:val="Textonotapie"/>
      </w:pPr>
      <w:r>
        <w:rPr>
          <w:rStyle w:val="Refdenotaalpie"/>
        </w:rPr>
        <w:footnoteRef/>
      </w:r>
      <w:r>
        <w:t xml:space="preserve"> </w:t>
      </w:r>
      <w:r w:rsidR="00D46A68" w:rsidRPr="00D46A68">
        <w:t xml:space="preserve">Consejo de Estado. Sala de Consulta y Servicio Civil. Concepto del 08 de mayo de 2018. </w:t>
      </w:r>
      <w:proofErr w:type="spellStart"/>
      <w:r w:rsidR="00D46A68" w:rsidRPr="00D46A68">
        <w:t>Exp</w:t>
      </w:r>
      <w:proofErr w:type="spellEnd"/>
      <w:r w:rsidR="00D46A68" w:rsidRPr="00D46A68">
        <w:t xml:space="preserve">. 2.382. C.P. Álvaro </w:t>
      </w:r>
      <w:proofErr w:type="spellStart"/>
      <w:r w:rsidR="00D46A68" w:rsidRPr="00D46A68">
        <w:t>Namén</w:t>
      </w:r>
      <w:proofErr w:type="spellEnd"/>
      <w:r w:rsidR="00D46A68" w:rsidRPr="00D46A68">
        <w:t xml:space="preserve"> Vargas.</w:t>
      </w:r>
    </w:p>
  </w:footnote>
  <w:footnote w:id="6">
    <w:p w14:paraId="65AEDB5F" w14:textId="2EAC048C" w:rsidR="00DC6D4D" w:rsidRPr="00DC6D4D" w:rsidRDefault="00DC6D4D" w:rsidP="00DC6D4D">
      <w:pPr>
        <w:pStyle w:val="Textonotapie"/>
        <w:jc w:val="both"/>
      </w:pPr>
      <w:r>
        <w:rPr>
          <w:rStyle w:val="Refdenotaalpie"/>
        </w:rPr>
        <w:footnoteRef/>
      </w:r>
      <w:r>
        <w:t xml:space="preserve"> Ibid. </w:t>
      </w:r>
      <w:r w:rsidRPr="00DC6D4D">
        <w:t xml:space="preserve">De esta forma, junto con la evolución de la normatividad sobre la contratación pública y el afinamiento de los criterios doctrinales de la Sala, producto de las múltiples y variadas consultas recibidas sobre la Ley 996 de 2005, se ha llegado a depurar el concepto de “contratación directa”, para estos efectos, precisando que, aun cuando no coincide única y exactamente con la regulación que de dicho sistema de selección hace el artículo 2º de la Ley 1150 de 2007, tampoco puede afirmarse que sea cualquier procedimiento de contratación distinto de la licitación pública, pues esto sería tanto como desconocer que el legislador, no solo en el Estatuto General de la Contratación de la Administración Pública, sino también en leyes especiales e, incluso, en el derecho privado23, ha establecido sistemas de contratación que implican convocatoria pública y participación de varios oferentes.  Así, la Sala ratifica en esta oportunidad que, para los efectos de la “Ley de Garantías Electorales” y, especialmente, para la prohibición o restricción temporal contenida en su artículo 33, debe entenderse por “contratación directa” cualquier sistema de selección o procedimiento de contratación utilizado por las entidades estatales que no incluya la convocatoria pública, en alguna de sus etapas24, ni permita la participación de una pluralidad de oferentes.  </w:t>
      </w:r>
    </w:p>
  </w:footnote>
  <w:footnote w:id="7">
    <w:p w14:paraId="319B1124" w14:textId="1C76CA30" w:rsidR="0005563A" w:rsidRDefault="0005563A">
      <w:pPr>
        <w:pStyle w:val="Textonotapie"/>
      </w:pPr>
      <w:r>
        <w:rPr>
          <w:rStyle w:val="Refdenotaalpie"/>
        </w:rPr>
        <w:footnoteRef/>
      </w:r>
      <w:r>
        <w:t xml:space="preserve"> «</w:t>
      </w:r>
      <w:r w:rsidRPr="0005563A">
        <w:t>16.2. Restricción para celebrar convenios y contratos interadministrativos</w:t>
      </w:r>
      <w:r>
        <w:t>.</w:t>
      </w:r>
    </w:p>
    <w:p w14:paraId="3AA31FE1" w14:textId="77777777" w:rsidR="0005563A" w:rsidRDefault="0005563A" w:rsidP="0005563A">
      <w:pPr>
        <w:pStyle w:val="Textonotapie"/>
        <w:jc w:val="both"/>
      </w:pPr>
      <w:r w:rsidRPr="0005563A">
        <w:t xml:space="preserve">El parágrafo del artículo 38 de la Ley 996 de 2005 prohíbe a los gobernadores, alcaldes, secretarios, gerentes y directores de Entidades Estatales del orden Municipal, Departamental o Distrital celebrar convenios interadministrativos para ejecutar recursos públicos durante los cuatro (4) meses anteriores a cualquier elección, sin importar la naturaleza o el orden nacional o territorial de la otra entidad contratante. </w:t>
      </w:r>
    </w:p>
    <w:p w14:paraId="7AB883E5" w14:textId="77777777" w:rsidR="0005563A" w:rsidRDefault="0005563A" w:rsidP="0005563A">
      <w:pPr>
        <w:pStyle w:val="Textonotapie"/>
        <w:jc w:val="both"/>
      </w:pPr>
    </w:p>
    <w:p w14:paraId="6D19C140" w14:textId="143747E4" w:rsidR="0005563A" w:rsidRPr="0005563A" w:rsidRDefault="0005563A" w:rsidP="0005563A">
      <w:pPr>
        <w:pStyle w:val="Textonotapie"/>
        <w:jc w:val="both"/>
      </w:pPr>
      <w:r w:rsidRPr="0005563A">
        <w:t>Esta restricción es aplicable tanto a los convenios como a los contratos interadministrativos, toda vez que, al no existir definición legal que diferencie el concepto de convenio del concepto de contrato, la denominación prevista por la Ley 80 de 1993 y la Ley 1150 de 2007 para tal fin se entenderán en el mismo sentido. Es así como el Decreto Reglamentario 1082 de 2015 trata indistintamente a los convenios y contratos interadministrativos, al establecer la contratación directa como la modalidad de selección para la contratación entre entidades públicas a través de estas dos figuras jurídicas.</w:t>
      </w:r>
      <w:r>
        <w:t xml:space="preserve"> (…)»</w:t>
      </w:r>
    </w:p>
  </w:footnote>
  <w:footnote w:id="8">
    <w:p w14:paraId="3C2C9922" w14:textId="7A7B93EA" w:rsidR="004913E4" w:rsidRPr="004913E4" w:rsidRDefault="004913E4" w:rsidP="004913E4">
      <w:pPr>
        <w:pStyle w:val="Textonotapie"/>
        <w:jc w:val="both"/>
      </w:pPr>
      <w:r>
        <w:rPr>
          <w:rStyle w:val="Refdenotaalpie"/>
        </w:rPr>
        <w:footnoteRef/>
      </w:r>
      <w:r>
        <w:t xml:space="preserve"> </w:t>
      </w:r>
      <w:r w:rsidRPr="00BC33AA">
        <w:t xml:space="preserve">ARTÍCULO 68. Entidades descentralizadas. Son entidades descentralizadas del orden nacional, los establecimientos públicos, las empresas industriales y comerciales del Estado, las sociedades públicas y las sociedades de economía mixta, las superintendencias y las unidades administrativas especiales con </w:t>
      </w:r>
      <w:proofErr w:type="spellStart"/>
      <w:r w:rsidRPr="00BC33AA">
        <w:t>personeria</w:t>
      </w:r>
      <w:proofErr w:type="spellEnd"/>
      <w:r w:rsidRPr="00BC33AA">
        <w:t xml:space="preserve"> jurídica, las empresas sociales del Estado, las empresas oficiales de servicios públicos y las demás entidades creadas por la ley o con su autorización, cuyo objeto principal sea el ejercicio de funciones administrativas, la prestación de servicios públicos o la realización de actividades industriales o comerciales con </w:t>
      </w:r>
      <w:proofErr w:type="spellStart"/>
      <w:r w:rsidRPr="00BC33AA">
        <w:t>personeria</w:t>
      </w:r>
      <w:proofErr w:type="spellEnd"/>
      <w:r w:rsidRPr="00BC33AA">
        <w:t xml:space="preserve"> jurídica, autonomía administrativa y patrimonio propio. Cómo </w:t>
      </w:r>
      <w:proofErr w:type="spellStart"/>
      <w:r w:rsidRPr="00BC33AA">
        <w:t>organos</w:t>
      </w:r>
      <w:proofErr w:type="spellEnd"/>
      <w:r w:rsidRPr="00BC33AA">
        <w:t xml:space="preserve"> del Estado aun cuando gozan de autonomía administrativa están sujetas al control </w:t>
      </w:r>
      <w:proofErr w:type="spellStart"/>
      <w:r w:rsidRPr="00BC33AA">
        <w:t>politico</w:t>
      </w:r>
      <w:proofErr w:type="spellEnd"/>
      <w:r w:rsidRPr="00BC33AA">
        <w:t xml:space="preserve"> y a la suprema dirección del </w:t>
      </w:r>
      <w:proofErr w:type="spellStart"/>
      <w:r w:rsidRPr="00BC33AA">
        <w:t>organo</w:t>
      </w:r>
      <w:proofErr w:type="spellEnd"/>
      <w:r w:rsidRPr="00BC33AA">
        <w:t xml:space="preserve"> de la administración al cuál están adscritas.</w:t>
      </w:r>
    </w:p>
  </w:footnote>
  <w:footnote w:id="9">
    <w:p w14:paraId="5B37A82F" w14:textId="764C95A8" w:rsidR="004913E4" w:rsidRPr="004913E4" w:rsidRDefault="004913E4">
      <w:pPr>
        <w:pStyle w:val="Textonotapie"/>
      </w:pPr>
      <w:r>
        <w:rPr>
          <w:rStyle w:val="Refdenotaalpie"/>
        </w:rPr>
        <w:footnoteRef/>
      </w:r>
      <w:r>
        <w:t xml:space="preserve"> </w:t>
      </w:r>
      <w:r w:rsidRPr="00BC33AA">
        <w:t xml:space="preserve">ARTÍCULO 69.- </w:t>
      </w:r>
      <w:proofErr w:type="spellStart"/>
      <w:r w:rsidRPr="00BC33AA">
        <w:t>Creacion</w:t>
      </w:r>
      <w:proofErr w:type="spellEnd"/>
      <w:r w:rsidRPr="00BC33AA">
        <w:t xml:space="preserve"> de las entidades descentralizadas. Las entidades descentralizadas, en el orden nacional, se crean por la ley, en el orden departamental, distrital y municipal, por la ordenanza o el acuerdo, o con su autorización, de conformidad con las disposiciones de la presente Ley. El proyecto respectivo </w:t>
      </w:r>
      <w:proofErr w:type="spellStart"/>
      <w:r w:rsidRPr="00BC33AA">
        <w:t>debera</w:t>
      </w:r>
      <w:proofErr w:type="spellEnd"/>
      <w:r w:rsidRPr="00BC33AA">
        <w:t xml:space="preserve"> acompañarse del estudio demostrativo que justifique la iniciativa, con la observancia de los principios señalados en el artículo 209 de la Constitución Política.</w:t>
      </w:r>
    </w:p>
  </w:footnote>
  <w:footnote w:id="10">
    <w:p w14:paraId="45F3A988" w14:textId="16D9387A" w:rsidR="00BC33AA" w:rsidRDefault="00BC33AA" w:rsidP="00BC33AA">
      <w:pPr>
        <w:rPr>
          <w:rFonts w:asciiTheme="minorHAnsi" w:eastAsiaTheme="minorHAnsi" w:hAnsiTheme="minorHAnsi" w:cstheme="minorBidi"/>
          <w:sz w:val="20"/>
          <w:szCs w:val="20"/>
          <w:lang w:eastAsia="en-US"/>
        </w:rPr>
      </w:pPr>
      <w:r>
        <w:rPr>
          <w:rStyle w:val="Refdenotaalpie"/>
        </w:rPr>
        <w:footnoteRef/>
      </w:r>
      <w:r>
        <w:t xml:space="preserve"> </w:t>
      </w:r>
      <w:r w:rsidRPr="00BC33AA">
        <w:rPr>
          <w:rFonts w:asciiTheme="minorHAnsi" w:eastAsiaTheme="minorHAnsi" w:hAnsiTheme="minorHAnsi" w:cstheme="minorBidi"/>
          <w:sz w:val="20"/>
          <w:szCs w:val="20"/>
          <w:lang w:eastAsia="en-US"/>
        </w:rPr>
        <w:t>ARTÍCULO 38.- Integración de la Rama Ejecutiva del Poder Público en el orden nacional. La Rama Ejecutiva del Poder Público en el orden nacional, está integrada por los siguientes organismos y entidades:</w:t>
      </w:r>
    </w:p>
    <w:p w14:paraId="65856B51" w14:textId="0CF8E956" w:rsidR="00BC33AA" w:rsidRDefault="00BC33AA" w:rsidP="00BC33AA">
      <w:pPr>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 xml:space="preserve">(…) </w:t>
      </w:r>
      <w:r w:rsidRPr="00BC33AA">
        <w:rPr>
          <w:rFonts w:asciiTheme="minorHAnsi" w:eastAsiaTheme="minorHAnsi" w:hAnsiTheme="minorHAnsi" w:cstheme="minorBidi"/>
          <w:sz w:val="20"/>
          <w:szCs w:val="20"/>
          <w:lang w:eastAsia="en-US"/>
        </w:rPr>
        <w:t>2. Del Sector descentralizado por servicios:</w:t>
      </w:r>
    </w:p>
    <w:p w14:paraId="424AB7E0" w14:textId="567D9D50" w:rsidR="00BC33AA" w:rsidRPr="00BC33AA" w:rsidRDefault="00BC33AA" w:rsidP="00344DD3">
      <w:pPr>
        <w:jc w:val="both"/>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 xml:space="preserve">(…) </w:t>
      </w:r>
      <w:r w:rsidRPr="00BC33AA">
        <w:rPr>
          <w:rFonts w:asciiTheme="minorHAnsi" w:eastAsiaTheme="minorHAnsi" w:hAnsiTheme="minorHAnsi" w:cstheme="minorBidi"/>
          <w:sz w:val="20"/>
          <w:szCs w:val="20"/>
          <w:lang w:eastAsia="en-US"/>
        </w:rPr>
        <w:t xml:space="preserve">d. Las empresas sociales del Estado y </w:t>
      </w:r>
      <w:r w:rsidRPr="00786F63">
        <w:rPr>
          <w:rFonts w:asciiTheme="minorHAnsi" w:eastAsiaTheme="minorHAnsi" w:hAnsiTheme="minorHAnsi" w:cstheme="minorBidi"/>
          <w:b/>
          <w:bCs/>
          <w:sz w:val="20"/>
          <w:szCs w:val="20"/>
          <w:lang w:eastAsia="en-US"/>
        </w:rPr>
        <w:t>las empresas oficiales de servicios públicos domiciliarios;</w:t>
      </w:r>
      <w:r>
        <w:rPr>
          <w:rFonts w:asciiTheme="minorHAnsi" w:eastAsiaTheme="minorHAnsi" w:hAnsiTheme="minorHAnsi" w:cstheme="minorBidi"/>
          <w:sz w:val="20"/>
          <w:szCs w:val="20"/>
          <w:lang w:eastAsia="en-US"/>
        </w:rPr>
        <w:t xml:space="preserve"> (…) (negrilla fuera del texto)</w:t>
      </w:r>
    </w:p>
  </w:footnote>
  <w:footnote w:id="11">
    <w:p w14:paraId="2CA27AD1" w14:textId="0DC2DF4F" w:rsidR="00BC33AA" w:rsidRPr="00BC33AA" w:rsidRDefault="00BC33AA" w:rsidP="00BC33AA">
      <w:pPr>
        <w:jc w:val="both"/>
        <w:rPr>
          <w:rFonts w:asciiTheme="minorHAnsi" w:eastAsiaTheme="minorHAnsi" w:hAnsiTheme="minorHAnsi" w:cstheme="minorBidi"/>
          <w:sz w:val="20"/>
          <w:szCs w:val="20"/>
          <w:lang w:eastAsia="en-US"/>
        </w:rPr>
      </w:pPr>
      <w:r>
        <w:rPr>
          <w:rStyle w:val="Refdenotaalpie"/>
        </w:rPr>
        <w:footnoteRef/>
      </w:r>
      <w:r>
        <w:t xml:space="preserve"> </w:t>
      </w:r>
      <w:r w:rsidRPr="00BC33AA">
        <w:rPr>
          <w:rFonts w:asciiTheme="minorHAnsi" w:eastAsiaTheme="minorHAnsi" w:hAnsiTheme="minorHAnsi" w:cstheme="minorBidi"/>
          <w:sz w:val="20"/>
          <w:szCs w:val="20"/>
          <w:lang w:eastAsia="en-US"/>
        </w:rPr>
        <w:t xml:space="preserve">ARTÍCULO 50.- Contenido de los actos de </w:t>
      </w:r>
      <w:proofErr w:type="spellStart"/>
      <w:r w:rsidRPr="00BC33AA">
        <w:rPr>
          <w:rFonts w:asciiTheme="minorHAnsi" w:eastAsiaTheme="minorHAnsi" w:hAnsiTheme="minorHAnsi" w:cstheme="minorBidi"/>
          <w:sz w:val="20"/>
          <w:szCs w:val="20"/>
          <w:lang w:eastAsia="en-US"/>
        </w:rPr>
        <w:t>creacion</w:t>
      </w:r>
      <w:proofErr w:type="spellEnd"/>
      <w:r w:rsidRPr="00BC33AA">
        <w:rPr>
          <w:rFonts w:asciiTheme="minorHAnsi" w:eastAsiaTheme="minorHAnsi" w:hAnsiTheme="minorHAnsi" w:cstheme="minorBidi"/>
          <w:sz w:val="20"/>
          <w:szCs w:val="20"/>
          <w:lang w:eastAsia="en-US"/>
        </w:rPr>
        <w:t xml:space="preserve">. (…) PARÁGRAFO .- Las superintendencias, los establecimientos públicos y las unidades administrativas especiales </w:t>
      </w:r>
      <w:proofErr w:type="spellStart"/>
      <w:r w:rsidRPr="00BC33AA">
        <w:rPr>
          <w:rFonts w:asciiTheme="minorHAnsi" w:eastAsiaTheme="minorHAnsi" w:hAnsiTheme="minorHAnsi" w:cstheme="minorBidi"/>
          <w:sz w:val="20"/>
          <w:szCs w:val="20"/>
          <w:lang w:eastAsia="en-US"/>
        </w:rPr>
        <w:t>estaran</w:t>
      </w:r>
      <w:proofErr w:type="spellEnd"/>
      <w:r w:rsidRPr="00BC33AA">
        <w:rPr>
          <w:rFonts w:asciiTheme="minorHAnsi" w:eastAsiaTheme="minorHAnsi" w:hAnsiTheme="minorHAnsi" w:cstheme="minorBidi"/>
          <w:sz w:val="20"/>
          <w:szCs w:val="20"/>
          <w:lang w:eastAsia="en-US"/>
        </w:rPr>
        <w:t xml:space="preserve"> adscritos a los ministerios o departamentos administrativos; las empresas industriales y comerciales del Estado y las sociedades de </w:t>
      </w:r>
      <w:proofErr w:type="spellStart"/>
      <w:r w:rsidRPr="00BC33AA">
        <w:rPr>
          <w:rFonts w:asciiTheme="minorHAnsi" w:eastAsiaTheme="minorHAnsi" w:hAnsiTheme="minorHAnsi" w:cstheme="minorBidi"/>
          <w:sz w:val="20"/>
          <w:szCs w:val="20"/>
          <w:lang w:eastAsia="en-US"/>
        </w:rPr>
        <w:t>economia</w:t>
      </w:r>
      <w:proofErr w:type="spellEnd"/>
      <w:r w:rsidRPr="00BC33AA">
        <w:rPr>
          <w:rFonts w:asciiTheme="minorHAnsi" w:eastAsiaTheme="minorHAnsi" w:hAnsiTheme="minorHAnsi" w:cstheme="minorBidi"/>
          <w:sz w:val="20"/>
          <w:szCs w:val="20"/>
          <w:lang w:eastAsia="en-US"/>
        </w:rPr>
        <w:t xml:space="preserve"> mixta </w:t>
      </w:r>
      <w:proofErr w:type="spellStart"/>
      <w:r w:rsidRPr="00BC33AA">
        <w:rPr>
          <w:rFonts w:asciiTheme="minorHAnsi" w:eastAsiaTheme="minorHAnsi" w:hAnsiTheme="minorHAnsi" w:cstheme="minorBidi"/>
          <w:sz w:val="20"/>
          <w:szCs w:val="20"/>
          <w:lang w:eastAsia="en-US"/>
        </w:rPr>
        <w:t>estaran</w:t>
      </w:r>
      <w:proofErr w:type="spellEnd"/>
      <w:r w:rsidRPr="00BC33AA">
        <w:rPr>
          <w:rFonts w:asciiTheme="minorHAnsi" w:eastAsiaTheme="minorHAnsi" w:hAnsiTheme="minorHAnsi" w:cstheme="minorBidi"/>
          <w:sz w:val="20"/>
          <w:szCs w:val="20"/>
          <w:lang w:eastAsia="en-US"/>
        </w:rPr>
        <w:t xml:space="preserve"> vinculadas a aquellos; los demás organismos y entidades </w:t>
      </w:r>
      <w:proofErr w:type="spellStart"/>
      <w:r w:rsidRPr="00BC33AA">
        <w:rPr>
          <w:rFonts w:asciiTheme="minorHAnsi" w:eastAsiaTheme="minorHAnsi" w:hAnsiTheme="minorHAnsi" w:cstheme="minorBidi"/>
          <w:sz w:val="20"/>
          <w:szCs w:val="20"/>
          <w:lang w:eastAsia="en-US"/>
        </w:rPr>
        <w:t>estaran</w:t>
      </w:r>
      <w:proofErr w:type="spellEnd"/>
      <w:r w:rsidRPr="00BC33AA">
        <w:rPr>
          <w:rFonts w:asciiTheme="minorHAnsi" w:eastAsiaTheme="minorHAnsi" w:hAnsiTheme="minorHAnsi" w:cstheme="minorBidi"/>
          <w:sz w:val="20"/>
          <w:szCs w:val="20"/>
          <w:lang w:eastAsia="en-US"/>
        </w:rPr>
        <w:t xml:space="preserve"> adscritos o vinculados, según lo determine su acto de </w:t>
      </w:r>
      <w:proofErr w:type="spellStart"/>
      <w:r w:rsidRPr="00BC33AA">
        <w:rPr>
          <w:rFonts w:asciiTheme="minorHAnsi" w:eastAsiaTheme="minorHAnsi" w:hAnsiTheme="minorHAnsi" w:cstheme="minorBidi"/>
          <w:sz w:val="20"/>
          <w:szCs w:val="20"/>
          <w:lang w:eastAsia="en-US"/>
        </w:rPr>
        <w:t>creacion</w:t>
      </w:r>
      <w:proofErr w:type="spellEnd"/>
      <w:r w:rsidRPr="00BC33AA">
        <w:rPr>
          <w:rFonts w:asciiTheme="minorHAnsi" w:eastAsiaTheme="minorHAnsi" w:hAnsiTheme="minorHAnsi" w:cstheme="minorBidi"/>
          <w:sz w:val="20"/>
          <w:szCs w:val="20"/>
          <w:lang w:eastAsia="en-US"/>
        </w:rPr>
        <w:t>.</w:t>
      </w:r>
      <w:r>
        <w:rPr>
          <w:rFonts w:asciiTheme="minorHAnsi" w:eastAsiaTheme="minorHAnsi" w:hAnsiTheme="minorHAnsi" w:cstheme="minorBidi"/>
          <w:sz w:val="20"/>
          <w:szCs w:val="20"/>
          <w:lang w:eastAsia="en-US"/>
        </w:rPr>
        <w:t xml:space="preserve"> </w:t>
      </w:r>
    </w:p>
    <w:p w14:paraId="0989A8F3" w14:textId="704E7A9D" w:rsidR="00BC33AA" w:rsidRPr="00BC33AA" w:rsidRDefault="00BC33AA">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D33464" w:rsidRDefault="00183F06">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rPr>
          <w:fldChar w:fldCharType="begin"/>
        </w:r>
        <w:r>
          <w:rPr>
            <w:rFonts w:ascii="Work Sans" w:hAnsi="Work Sans" w:cs="Arial"/>
            <w:b/>
            <w:bCs/>
            <w:sz w:val="18"/>
          </w:rPr>
          <w:instrText>PAGE</w:instrText>
        </w:r>
        <w:r>
          <w:rPr>
            <w:rFonts w:ascii="Work Sans" w:hAnsi="Work Sans" w:cs="Arial"/>
            <w:b/>
            <w:bCs/>
            <w:sz w:val="18"/>
          </w:rPr>
          <w:fldChar w:fldCharType="separate"/>
        </w:r>
        <w:r w:rsidR="00F758D2">
          <w:rPr>
            <w:rFonts w:ascii="Work Sans" w:hAnsi="Work Sans" w:cs="Arial"/>
            <w:b/>
            <w:bCs/>
            <w:noProof/>
            <w:sz w:val="18"/>
          </w:rPr>
          <w:t>1</w:t>
        </w:r>
        <w:r>
          <w:rPr>
            <w:rFonts w:ascii="Work Sans" w:hAnsi="Work Sans" w:cs="Arial"/>
            <w:b/>
            <w:bCs/>
            <w:sz w:val="18"/>
          </w:rPr>
          <w:fldChar w:fldCharType="end"/>
        </w:r>
        <w:r>
          <w:rPr>
            <w:rFonts w:ascii="Work Sans" w:hAnsi="Work Sans" w:cs="Arial"/>
            <w:sz w:val="18"/>
            <w:lang w:val="es-ES"/>
          </w:rPr>
          <w:t xml:space="preserve"> de </w:t>
        </w:r>
        <w:r>
          <w:rPr>
            <w:rFonts w:ascii="Work Sans" w:hAnsi="Work Sans" w:cs="Arial"/>
            <w:b/>
            <w:bCs/>
            <w:sz w:val="18"/>
          </w:rPr>
          <w:fldChar w:fldCharType="begin"/>
        </w:r>
        <w:r>
          <w:rPr>
            <w:rFonts w:ascii="Work Sans" w:hAnsi="Work Sans" w:cs="Arial"/>
            <w:b/>
            <w:bCs/>
            <w:sz w:val="18"/>
          </w:rPr>
          <w:instrText>NUMPAGES</w:instrText>
        </w:r>
        <w:r>
          <w:rPr>
            <w:rFonts w:ascii="Work Sans" w:hAnsi="Work Sans" w:cs="Arial"/>
            <w:b/>
            <w:bCs/>
            <w:sz w:val="18"/>
          </w:rPr>
          <w:fldChar w:fldCharType="separate"/>
        </w:r>
        <w:r w:rsidR="00F758D2">
          <w:rPr>
            <w:rFonts w:ascii="Work Sans" w:hAnsi="Work Sans" w:cs="Arial"/>
            <w:b/>
            <w:bCs/>
            <w:noProof/>
            <w:sz w:val="18"/>
          </w:rPr>
          <w:t>1</w:t>
        </w:r>
        <w:r>
          <w:rPr>
            <w:rFonts w:ascii="Work Sans" w:hAnsi="Work Sans" w:cs="Arial"/>
            <w:b/>
            <w:bCs/>
            <w:sz w:val="18"/>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C04679" w:rsidRDefault="00BC7B64">
        <w:pPr>
          <w:tabs>
            <w:tab w:val="left" w:pos="1354"/>
            <w:tab w:val="left" w:pos="1485"/>
            <w:tab w:val="right" w:pos="9404"/>
          </w:tabs>
          <w:snapToGrid w:val="0"/>
          <w:jc w:val="right"/>
          <w:textAlignment w:val="baseline"/>
          <w:rPr>
            <w:rFonts w:ascii="Arial"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C04679" w:rsidRDefault="00C04679">
    <w:pPr>
      <w:tabs>
        <w:tab w:val="left" w:pos="1485"/>
      </w:tabs>
      <w:snapToGrid w:val="0"/>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1303"/>
    <w:multiLevelType w:val="hybridMultilevel"/>
    <w:tmpl w:val="92A07B86"/>
    <w:lvl w:ilvl="0" w:tplc="C4847FC8">
      <w:start w:val="3"/>
      <w:numFmt w:val="bullet"/>
      <w:lvlText w:val="-"/>
      <w:lvlJc w:val="left"/>
      <w:pPr>
        <w:ind w:left="720" w:hanging="360"/>
      </w:pPr>
      <w:rPr>
        <w:rFonts w:ascii="Work Sans" w:eastAsia="Times New Roman" w:hAnsi="Work Sans"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DB4D5E"/>
    <w:multiLevelType w:val="multilevel"/>
    <w:tmpl w:val="8F646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777B8"/>
    <w:multiLevelType w:val="multilevel"/>
    <w:tmpl w:val="F222810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C0958F2"/>
    <w:multiLevelType w:val="hybridMultilevel"/>
    <w:tmpl w:val="2C5421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37057B3"/>
    <w:multiLevelType w:val="hybridMultilevel"/>
    <w:tmpl w:val="D74C07A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E54422F"/>
    <w:multiLevelType w:val="multilevel"/>
    <w:tmpl w:val="7C56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AA1D8A"/>
    <w:multiLevelType w:val="multilevel"/>
    <w:tmpl w:val="BA6AE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42511F"/>
    <w:multiLevelType w:val="multilevel"/>
    <w:tmpl w:val="F222810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2417D0A"/>
    <w:multiLevelType w:val="multilevel"/>
    <w:tmpl w:val="8B5814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569283">
    <w:abstractNumId w:val="5"/>
  </w:num>
  <w:num w:numId="2" w16cid:durableId="552153206">
    <w:abstractNumId w:val="1"/>
  </w:num>
  <w:num w:numId="3" w16cid:durableId="973676697">
    <w:abstractNumId w:val="6"/>
  </w:num>
  <w:num w:numId="4" w16cid:durableId="492377193">
    <w:abstractNumId w:val="7"/>
  </w:num>
  <w:num w:numId="5" w16cid:durableId="443500510">
    <w:abstractNumId w:val="0"/>
  </w:num>
  <w:num w:numId="6" w16cid:durableId="1634480323">
    <w:abstractNumId w:val="4"/>
  </w:num>
  <w:num w:numId="7" w16cid:durableId="1573614740">
    <w:abstractNumId w:val="3"/>
  </w:num>
  <w:num w:numId="8" w16cid:durableId="482427098">
    <w:abstractNumId w:val="2"/>
  </w:num>
  <w:num w:numId="9" w16cid:durableId="14366291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242FD"/>
    <w:rsid w:val="000418C8"/>
    <w:rsid w:val="00046D1C"/>
    <w:rsid w:val="0005563A"/>
    <w:rsid w:val="000E59F0"/>
    <w:rsid w:val="001358EB"/>
    <w:rsid w:val="00150F71"/>
    <w:rsid w:val="00183F06"/>
    <w:rsid w:val="001A17D7"/>
    <w:rsid w:val="001A7BA2"/>
    <w:rsid w:val="001E4425"/>
    <w:rsid w:val="00202A17"/>
    <w:rsid w:val="0023586F"/>
    <w:rsid w:val="0026082F"/>
    <w:rsid w:val="0026480C"/>
    <w:rsid w:val="002757D9"/>
    <w:rsid w:val="00280B77"/>
    <w:rsid w:val="00296FA1"/>
    <w:rsid w:val="002B541A"/>
    <w:rsid w:val="002B6778"/>
    <w:rsid w:val="002D6053"/>
    <w:rsid w:val="002E601B"/>
    <w:rsid w:val="0030697C"/>
    <w:rsid w:val="00344DD3"/>
    <w:rsid w:val="00346E45"/>
    <w:rsid w:val="003C6CA7"/>
    <w:rsid w:val="003D64EF"/>
    <w:rsid w:val="003D7479"/>
    <w:rsid w:val="003E627A"/>
    <w:rsid w:val="00414827"/>
    <w:rsid w:val="00416826"/>
    <w:rsid w:val="00452401"/>
    <w:rsid w:val="00454A6E"/>
    <w:rsid w:val="00455C6A"/>
    <w:rsid w:val="0046529F"/>
    <w:rsid w:val="00485628"/>
    <w:rsid w:val="004913E4"/>
    <w:rsid w:val="0049507E"/>
    <w:rsid w:val="004E340F"/>
    <w:rsid w:val="005061BF"/>
    <w:rsid w:val="00543547"/>
    <w:rsid w:val="00551186"/>
    <w:rsid w:val="005A358A"/>
    <w:rsid w:val="005A7424"/>
    <w:rsid w:val="005B09A5"/>
    <w:rsid w:val="005D2823"/>
    <w:rsid w:val="005E6B92"/>
    <w:rsid w:val="006157A7"/>
    <w:rsid w:val="00670F4A"/>
    <w:rsid w:val="00697EF7"/>
    <w:rsid w:val="006A358C"/>
    <w:rsid w:val="006E01E8"/>
    <w:rsid w:val="00713CBD"/>
    <w:rsid w:val="00715A95"/>
    <w:rsid w:val="0075543B"/>
    <w:rsid w:val="007560EA"/>
    <w:rsid w:val="007807DA"/>
    <w:rsid w:val="00781199"/>
    <w:rsid w:val="00786F63"/>
    <w:rsid w:val="008017F8"/>
    <w:rsid w:val="0081128A"/>
    <w:rsid w:val="00814311"/>
    <w:rsid w:val="00826B8A"/>
    <w:rsid w:val="008516A9"/>
    <w:rsid w:val="00865C91"/>
    <w:rsid w:val="008A53B4"/>
    <w:rsid w:val="008C4652"/>
    <w:rsid w:val="008D2464"/>
    <w:rsid w:val="00923014"/>
    <w:rsid w:val="009254BB"/>
    <w:rsid w:val="00931F00"/>
    <w:rsid w:val="0094424E"/>
    <w:rsid w:val="00950B6A"/>
    <w:rsid w:val="00952EB6"/>
    <w:rsid w:val="009B5409"/>
    <w:rsid w:val="009E5228"/>
    <w:rsid w:val="00A3168D"/>
    <w:rsid w:val="00A32223"/>
    <w:rsid w:val="00A32F93"/>
    <w:rsid w:val="00A674DD"/>
    <w:rsid w:val="00A82C6D"/>
    <w:rsid w:val="00AA0777"/>
    <w:rsid w:val="00AA1D97"/>
    <w:rsid w:val="00AA1DFD"/>
    <w:rsid w:val="00AC4E5E"/>
    <w:rsid w:val="00AD43C1"/>
    <w:rsid w:val="00AE1879"/>
    <w:rsid w:val="00AF21D9"/>
    <w:rsid w:val="00B0182B"/>
    <w:rsid w:val="00B11D58"/>
    <w:rsid w:val="00B12ABD"/>
    <w:rsid w:val="00B2061C"/>
    <w:rsid w:val="00BA0B7C"/>
    <w:rsid w:val="00BA46BD"/>
    <w:rsid w:val="00BC33AA"/>
    <w:rsid w:val="00BC7B64"/>
    <w:rsid w:val="00C04679"/>
    <w:rsid w:val="00C15F00"/>
    <w:rsid w:val="00C247DD"/>
    <w:rsid w:val="00C31BC4"/>
    <w:rsid w:val="00C55606"/>
    <w:rsid w:val="00C7305A"/>
    <w:rsid w:val="00D33464"/>
    <w:rsid w:val="00D46A68"/>
    <w:rsid w:val="00D95FE5"/>
    <w:rsid w:val="00DC6D4D"/>
    <w:rsid w:val="00E020D7"/>
    <w:rsid w:val="00E113E2"/>
    <w:rsid w:val="00E2314C"/>
    <w:rsid w:val="00E26A54"/>
    <w:rsid w:val="00EC6511"/>
    <w:rsid w:val="00EC6727"/>
    <w:rsid w:val="00ED3A64"/>
    <w:rsid w:val="00EF4A56"/>
    <w:rsid w:val="00F01883"/>
    <w:rsid w:val="00F03A72"/>
    <w:rsid w:val="00F167CD"/>
    <w:rsid w:val="00F758D2"/>
    <w:rsid w:val="00FA23C7"/>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58C"/>
    <w:pPr>
      <w:suppressAutoHyphens w:val="0"/>
    </w:pPr>
    <w:rPr>
      <w:rFonts w:ascii="Times New Roman" w:eastAsia="Times New Roman" w:hAnsi="Times New Roman" w:cs="Times New Roman"/>
      <w:sz w:val="24"/>
      <w:szCs w:val="24"/>
      <w:lang w:eastAsia="es-MX"/>
    </w:rPr>
  </w:style>
  <w:style w:type="paragraph" w:styleId="Ttulo3">
    <w:name w:val="heading 3"/>
    <w:basedOn w:val="Normal"/>
    <w:link w:val="Ttulo3Car"/>
    <w:uiPriority w:val="9"/>
    <w:qFormat/>
    <w:rsid w:val="00280B77"/>
    <w:pPr>
      <w:spacing w:before="100" w:beforeAutospacing="1" w:after="100" w:afterAutospacing="1"/>
      <w:outlineLvl w:val="2"/>
    </w:pPr>
    <w:rPr>
      <w:b/>
      <w:bCs/>
      <w:sz w:val="27"/>
      <w:szCs w:val="27"/>
    </w:rPr>
  </w:style>
  <w:style w:type="paragraph" w:styleId="Ttulo4">
    <w:name w:val="heading 4"/>
    <w:basedOn w:val="Normal"/>
    <w:link w:val="Ttulo4Car"/>
    <w:uiPriority w:val="9"/>
    <w:qFormat/>
    <w:rsid w:val="00280B77"/>
    <w:pPr>
      <w:spacing w:before="100" w:beforeAutospacing="1" w:after="100" w:afterAutospacing="1"/>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jc w:val="both"/>
    </w:pPr>
    <w:rPr>
      <w:rFonts w:ascii="Arial" w:hAnsi="Arial"/>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pPr>
  </w:style>
  <w:style w:type="paragraph" w:styleId="Piedepgina">
    <w:name w:val="footer"/>
    <w:basedOn w:val="Normal"/>
    <w:link w:val="PiedepginaCar"/>
    <w:uiPriority w:val="99"/>
    <w:unhideWhenUsed/>
    <w:rsid w:val="004B5EF3"/>
    <w:pPr>
      <w:tabs>
        <w:tab w:val="center" w:pos="4419"/>
        <w:tab w:val="right" w:pos="8838"/>
      </w:tabs>
    </w:pPr>
  </w:style>
  <w:style w:type="character" w:customStyle="1" w:styleId="Ttulo3Car">
    <w:name w:val="Título 3 Car"/>
    <w:basedOn w:val="Fuentedeprrafopredeter"/>
    <w:link w:val="Ttulo3"/>
    <w:uiPriority w:val="9"/>
    <w:rsid w:val="00280B77"/>
    <w:rPr>
      <w:rFonts w:ascii="Times New Roman" w:eastAsia="Times New Roman" w:hAnsi="Times New Roman" w:cs="Times New Roman"/>
      <w:b/>
      <w:bCs/>
      <w:sz w:val="27"/>
      <w:szCs w:val="27"/>
      <w:lang w:eastAsia="es-MX"/>
    </w:rPr>
  </w:style>
  <w:style w:type="character" w:customStyle="1" w:styleId="Ttulo4Car">
    <w:name w:val="Título 4 Car"/>
    <w:basedOn w:val="Fuentedeprrafopredeter"/>
    <w:link w:val="Ttulo4"/>
    <w:uiPriority w:val="9"/>
    <w:rsid w:val="00280B77"/>
    <w:rPr>
      <w:rFonts w:ascii="Times New Roman" w:eastAsia="Times New Roman" w:hAnsi="Times New Roman" w:cs="Times New Roman"/>
      <w:b/>
      <w:bCs/>
      <w:sz w:val="24"/>
      <w:szCs w:val="24"/>
      <w:lang w:eastAsia="es-MX"/>
    </w:rPr>
  </w:style>
  <w:style w:type="paragraph" w:customStyle="1" w:styleId="p1">
    <w:name w:val="p1"/>
    <w:basedOn w:val="Normal"/>
    <w:rsid w:val="00280B77"/>
    <w:pPr>
      <w:spacing w:before="100" w:beforeAutospacing="1" w:after="100" w:afterAutospacing="1"/>
    </w:pPr>
  </w:style>
  <w:style w:type="character" w:customStyle="1" w:styleId="s1">
    <w:name w:val="s1"/>
    <w:basedOn w:val="Fuentedeprrafopredeter"/>
    <w:rsid w:val="00280B77"/>
  </w:style>
  <w:style w:type="paragraph" w:customStyle="1" w:styleId="p2">
    <w:name w:val="p2"/>
    <w:basedOn w:val="Normal"/>
    <w:rsid w:val="00280B77"/>
    <w:pPr>
      <w:spacing w:before="100" w:beforeAutospacing="1" w:after="100" w:afterAutospacing="1"/>
    </w:pPr>
  </w:style>
  <w:style w:type="paragraph" w:customStyle="1" w:styleId="p3">
    <w:name w:val="p3"/>
    <w:basedOn w:val="Normal"/>
    <w:rsid w:val="00280B77"/>
    <w:pPr>
      <w:spacing w:before="100" w:beforeAutospacing="1" w:after="100" w:afterAutospacing="1"/>
    </w:pPr>
  </w:style>
  <w:style w:type="character" w:customStyle="1" w:styleId="apple-converted-space">
    <w:name w:val="apple-converted-space"/>
    <w:basedOn w:val="Fuentedeprrafopredeter"/>
    <w:rsid w:val="003E627A"/>
  </w:style>
  <w:style w:type="paragraph" w:styleId="Prrafodelista">
    <w:name w:val="List Paragraph"/>
    <w:basedOn w:val="Normal"/>
    <w:uiPriority w:val="34"/>
    <w:qFormat/>
    <w:rsid w:val="003E627A"/>
    <w:pPr>
      <w:ind w:left="720"/>
      <w:contextualSpacing/>
    </w:pPr>
  </w:style>
  <w:style w:type="paragraph" w:styleId="Textonotapie">
    <w:name w:val="footnote text"/>
    <w:basedOn w:val="Normal"/>
    <w:link w:val="TextonotapieCar"/>
    <w:uiPriority w:val="99"/>
    <w:semiHidden/>
    <w:unhideWhenUsed/>
    <w:rsid w:val="00C7305A"/>
    <w:rPr>
      <w:sz w:val="20"/>
      <w:szCs w:val="20"/>
    </w:rPr>
  </w:style>
  <w:style w:type="character" w:customStyle="1" w:styleId="TextonotapieCar">
    <w:name w:val="Texto nota pie Car"/>
    <w:basedOn w:val="Fuentedeprrafopredeter"/>
    <w:link w:val="Textonotapie"/>
    <w:uiPriority w:val="99"/>
    <w:semiHidden/>
    <w:rsid w:val="00C7305A"/>
    <w:rPr>
      <w:sz w:val="20"/>
      <w:szCs w:val="20"/>
    </w:rPr>
  </w:style>
  <w:style w:type="character" w:styleId="Refdenotaalpie">
    <w:name w:val="footnote reference"/>
    <w:basedOn w:val="Fuentedeprrafopredeter"/>
    <w:uiPriority w:val="99"/>
    <w:semiHidden/>
    <w:unhideWhenUsed/>
    <w:rsid w:val="00C7305A"/>
    <w:rPr>
      <w:vertAlign w:val="superscript"/>
    </w:rPr>
  </w:style>
  <w:style w:type="paragraph" w:styleId="NormalWeb">
    <w:name w:val="Normal (Web)"/>
    <w:basedOn w:val="Normal"/>
    <w:uiPriority w:val="99"/>
    <w:semiHidden/>
    <w:unhideWhenUsed/>
    <w:rsid w:val="003D7479"/>
    <w:pPr>
      <w:spacing w:before="100" w:beforeAutospacing="1" w:after="100" w:afterAutospacing="1"/>
    </w:pPr>
  </w:style>
  <w:style w:type="character" w:customStyle="1" w:styleId="vcitation">
    <w:name w:val="vcitation"/>
    <w:basedOn w:val="Fuentedeprrafopredeter"/>
    <w:rsid w:val="00952EB6"/>
  </w:style>
  <w:style w:type="character" w:styleId="Hipervnculo">
    <w:name w:val="Hyperlink"/>
    <w:basedOn w:val="Fuentedeprrafopredeter"/>
    <w:uiPriority w:val="99"/>
    <w:semiHidden/>
    <w:unhideWhenUsed/>
    <w:rsid w:val="00952EB6"/>
    <w:rPr>
      <w:color w:val="0000FF"/>
      <w:u w:val="single"/>
    </w:rPr>
  </w:style>
  <w:style w:type="character" w:customStyle="1" w:styleId="baj">
    <w:name w:val="b_aj"/>
    <w:basedOn w:val="Fuentedeprrafopredeter"/>
    <w:rsid w:val="0075543B"/>
  </w:style>
  <w:style w:type="character" w:customStyle="1" w:styleId="s2">
    <w:name w:val="s2"/>
    <w:basedOn w:val="Fuentedeprrafopredeter"/>
    <w:rsid w:val="008D2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1C711-E9BD-F240-8176-4634DDA4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4624</Words>
  <Characters>25109</Characters>
  <Application>Microsoft Office Word</Application>
  <DocSecurity>0</DocSecurity>
  <Lines>440</Lines>
  <Paragraphs>117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29616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SAMIRA GUERRERO ROJAS</cp:lastModifiedBy>
  <cp:revision>61</cp:revision>
  <dcterms:created xsi:type="dcterms:W3CDTF">2025-11-10T14:59:00Z</dcterms:created>
  <dcterms:modified xsi:type="dcterms:W3CDTF">2025-11-18T20:05:00Z</dcterms:modified>
  <dc:language>es-CO</dc:language>
</cp:coreProperties>
</file>